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009FC" w14:textId="4EFA838C" w:rsidR="00EF3ABC" w:rsidRPr="00AC3CD2" w:rsidRDefault="00EF3ABC" w:rsidP="00EF3ABC">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22</w:t>
      </w:r>
      <w:r w:rsidRPr="00AC3CD2">
        <w:rPr>
          <w:rFonts w:eastAsiaTheme="minorHAnsi" w:cs="Arial"/>
          <w:b/>
          <w:bCs/>
          <w:sz w:val="24"/>
          <w:szCs w:val="24"/>
          <w:lang w:val="en-US"/>
        </w:rPr>
        <w:tab/>
        <w:t xml:space="preserve">                                </w:t>
      </w:r>
      <w:r w:rsidRPr="001F059A">
        <w:rPr>
          <w:rFonts w:eastAsiaTheme="minorHAnsi" w:cs="Arial"/>
          <w:b/>
          <w:bCs/>
          <w:sz w:val="24"/>
          <w:szCs w:val="24"/>
          <w:lang w:val="en-US"/>
        </w:rPr>
        <w:t>R2-23</w:t>
      </w:r>
      <w:r w:rsidR="00C71748">
        <w:rPr>
          <w:rFonts w:eastAsiaTheme="minorHAnsi" w:cs="Arial"/>
          <w:b/>
          <w:bCs/>
          <w:sz w:val="24"/>
          <w:szCs w:val="24"/>
          <w:lang w:val="en-US"/>
        </w:rPr>
        <w:t>05170</w:t>
      </w:r>
    </w:p>
    <w:p w14:paraId="177BFEC9" w14:textId="0A3FDA9E" w:rsidR="00EF3ABC" w:rsidRPr="00AC3CD2" w:rsidRDefault="00EF3ABC" w:rsidP="00EF3ABC">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Incheon</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Korea, 22</w:t>
      </w:r>
      <w:r w:rsidRPr="00C36D19">
        <w:rPr>
          <w:rFonts w:eastAsiaTheme="minorEastAsia" w:cs="Arial"/>
          <w:b/>
          <w:bCs/>
          <w:sz w:val="24"/>
          <w:szCs w:val="24"/>
          <w:vertAlign w:val="superscript"/>
          <w:lang w:val="en-US" w:eastAsia="ko-KR"/>
        </w:rPr>
        <w:t>nd</w:t>
      </w:r>
      <w:r>
        <w:rPr>
          <w:rFonts w:eastAsiaTheme="minorEastAsia" w:cs="Arial"/>
          <w:b/>
          <w:bCs/>
          <w:sz w:val="24"/>
          <w:szCs w:val="24"/>
          <w:lang w:val="en-US" w:eastAsia="ko-KR"/>
        </w:rPr>
        <w:t xml:space="preserve"> – 26</w:t>
      </w:r>
      <w:r w:rsidRPr="001F059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May</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p w14:paraId="6584FA6E" w14:textId="77777777" w:rsidR="00E06B61" w:rsidRPr="00AC3CD2" w:rsidRDefault="00E06B61" w:rsidP="00E06B61">
      <w:pPr>
        <w:pStyle w:val="CRCoverPage"/>
        <w:tabs>
          <w:tab w:val="left" w:pos="1980"/>
        </w:tabs>
        <w:spacing w:line="259" w:lineRule="auto"/>
        <w:jc w:val="both"/>
        <w:rPr>
          <w:rFonts w:cs="Arial"/>
          <w:b/>
          <w:bCs/>
          <w:sz w:val="24"/>
          <w:szCs w:val="24"/>
          <w:lang w:val="en-US"/>
        </w:rPr>
      </w:pPr>
    </w:p>
    <w:p w14:paraId="39883C2E" w14:textId="585BEA3B" w:rsidR="00E06B61" w:rsidRPr="00AC3CD2" w:rsidRDefault="00E06B61" w:rsidP="00E06B61">
      <w:pPr>
        <w:pStyle w:val="CRCoverPage"/>
        <w:tabs>
          <w:tab w:val="left" w:pos="1980"/>
        </w:tabs>
        <w:spacing w:line="259" w:lineRule="auto"/>
        <w:jc w:val="both"/>
        <w:rPr>
          <w:rFonts w:cs="Arial"/>
          <w:b/>
          <w:bCs/>
          <w:sz w:val="24"/>
          <w:szCs w:val="24"/>
          <w:lang w:val="en-US" w:eastAsia="ja-JP"/>
        </w:rPr>
      </w:pPr>
      <w:r w:rsidRPr="00AC3CD2">
        <w:rPr>
          <w:rFonts w:cs="Arial"/>
          <w:b/>
          <w:bCs/>
          <w:sz w:val="24"/>
          <w:szCs w:val="24"/>
          <w:lang w:val="en-US"/>
        </w:rPr>
        <w:t>Agenda Item:</w:t>
      </w:r>
      <w:r w:rsidRPr="00AC3CD2">
        <w:rPr>
          <w:rFonts w:cs="Arial"/>
          <w:b/>
          <w:bCs/>
          <w:sz w:val="24"/>
          <w:szCs w:val="24"/>
          <w:lang w:val="en-US"/>
        </w:rPr>
        <w:tab/>
      </w:r>
      <w:r w:rsidR="00B86363">
        <w:rPr>
          <w:rFonts w:cs="Arial"/>
          <w:b/>
          <w:bCs/>
          <w:sz w:val="24"/>
          <w:szCs w:val="24"/>
          <w:lang w:val="en-US"/>
        </w:rPr>
        <w:t>7</w:t>
      </w:r>
      <w:r w:rsidR="00387E49" w:rsidRPr="00AC3CD2">
        <w:rPr>
          <w:rFonts w:cs="Arial"/>
          <w:b/>
          <w:bCs/>
          <w:sz w:val="24"/>
          <w:szCs w:val="24"/>
          <w:lang w:val="en-US"/>
        </w:rPr>
        <w:t>.</w:t>
      </w:r>
      <w:r w:rsidR="00465087" w:rsidRPr="00AC3CD2">
        <w:rPr>
          <w:rFonts w:cs="Arial"/>
          <w:b/>
          <w:bCs/>
          <w:sz w:val="24"/>
          <w:szCs w:val="24"/>
          <w:lang w:val="en-US"/>
        </w:rPr>
        <w:t>6.</w:t>
      </w:r>
      <w:r w:rsidR="00FE1F7F" w:rsidRPr="00AC3CD2">
        <w:rPr>
          <w:rFonts w:cs="Arial"/>
          <w:b/>
          <w:bCs/>
          <w:sz w:val="24"/>
          <w:szCs w:val="24"/>
          <w:lang w:val="en-US"/>
        </w:rPr>
        <w:t>3</w:t>
      </w:r>
      <w:r w:rsidR="00C25F9C">
        <w:rPr>
          <w:rFonts w:cs="Arial"/>
          <w:b/>
          <w:bCs/>
          <w:sz w:val="24"/>
          <w:szCs w:val="24"/>
          <w:lang w:val="en-US"/>
        </w:rPr>
        <w:t>.1</w:t>
      </w:r>
    </w:p>
    <w:p w14:paraId="3A7991F8" w14:textId="77777777" w:rsidR="00E06B61" w:rsidRPr="00AC3CD2" w:rsidRDefault="00E06B61" w:rsidP="00E06B61">
      <w:pPr>
        <w:tabs>
          <w:tab w:val="left" w:pos="1985"/>
        </w:tabs>
        <w:rPr>
          <w:rFonts w:ascii="Arial" w:hAnsi="Arial" w:cs="Arial"/>
          <w:bCs/>
          <w:sz w:val="24"/>
          <w:szCs w:val="24"/>
        </w:rPr>
      </w:pPr>
      <w:r w:rsidRPr="00AC3CD2">
        <w:rPr>
          <w:rFonts w:ascii="Arial" w:hAnsi="Arial" w:cs="Arial"/>
          <w:b/>
          <w:bCs/>
          <w:sz w:val="24"/>
          <w:szCs w:val="24"/>
        </w:rPr>
        <w:t>Source:</w:t>
      </w:r>
      <w:r w:rsidRPr="00AC3CD2">
        <w:rPr>
          <w:rFonts w:ascii="Arial" w:hAnsi="Arial" w:cs="Arial"/>
          <w:b/>
          <w:bCs/>
          <w:sz w:val="24"/>
          <w:szCs w:val="24"/>
        </w:rPr>
        <w:tab/>
        <w:t>InterDigital, Inc.</w:t>
      </w:r>
    </w:p>
    <w:p w14:paraId="64E1A817" w14:textId="4CCFEDB0"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Title:</w:t>
      </w:r>
      <w:r w:rsidRPr="00AC3CD2">
        <w:rPr>
          <w:rFonts w:ascii="Arial" w:hAnsi="Arial" w:cs="Arial"/>
          <w:b/>
          <w:bCs/>
          <w:sz w:val="24"/>
          <w:szCs w:val="24"/>
        </w:rPr>
        <w:tab/>
      </w:r>
      <w:r w:rsidR="00CB7DEE" w:rsidRPr="00CB7DEE">
        <w:rPr>
          <w:rFonts w:ascii="Arial" w:hAnsi="Arial" w:cs="Arial"/>
          <w:b/>
          <w:bCs/>
          <w:sz w:val="24"/>
          <w:szCs w:val="24"/>
        </w:rPr>
        <w:t>Neighbour cell measurements before RLF</w:t>
      </w:r>
      <w:r w:rsidR="00BE2156" w:rsidRPr="00BE2156">
        <w:rPr>
          <w:rFonts w:ascii="Arial" w:hAnsi="Arial" w:cs="Arial"/>
          <w:b/>
          <w:bCs/>
          <w:sz w:val="24"/>
          <w:szCs w:val="24"/>
        </w:rPr>
        <w:t xml:space="preserve"> </w:t>
      </w:r>
      <w:r w:rsidR="00BE2156">
        <w:rPr>
          <w:rFonts w:ascii="Arial" w:hAnsi="Arial" w:cs="Arial"/>
          <w:b/>
          <w:bCs/>
          <w:sz w:val="24"/>
          <w:szCs w:val="24"/>
        </w:rPr>
        <w:t>and CHO enhancements</w:t>
      </w:r>
      <w:r w:rsidR="004D2E3F" w:rsidRPr="00AC3CD2">
        <w:rPr>
          <w:rFonts w:ascii="Arial" w:hAnsi="Arial" w:cs="Arial"/>
          <w:b/>
          <w:bCs/>
          <w:sz w:val="24"/>
          <w:szCs w:val="24"/>
        </w:rPr>
        <w:t>.</w:t>
      </w:r>
    </w:p>
    <w:p w14:paraId="3FFA61C2" w14:textId="77777777"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Document for:</w:t>
      </w:r>
      <w:r w:rsidRPr="00AC3CD2">
        <w:rPr>
          <w:rFonts w:ascii="Arial" w:hAnsi="Arial" w:cs="Arial"/>
          <w:b/>
          <w:bCs/>
          <w:sz w:val="24"/>
          <w:szCs w:val="24"/>
        </w:rPr>
        <w:tab/>
        <w:t>Discussion</w:t>
      </w:r>
    </w:p>
    <w:p w14:paraId="03851C6F" w14:textId="7A016DF2" w:rsidR="00E06B61" w:rsidRPr="00AC3CD2" w:rsidRDefault="00E06B61" w:rsidP="00E06B61">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Introduction</w:t>
      </w:r>
    </w:p>
    <w:p w14:paraId="36477409" w14:textId="4F36DFA7" w:rsidR="00091528" w:rsidRPr="00AC3CD2" w:rsidRDefault="00D80ED7" w:rsidP="00E06B61">
      <w:pPr>
        <w:jc w:val="both"/>
        <w:rPr>
          <w:rFonts w:ascii="Arial" w:hAnsi="Arial" w:cs="Arial"/>
          <w:lang w:val="en-US"/>
        </w:rPr>
      </w:pPr>
      <w:r w:rsidRPr="00AC3CD2">
        <w:rPr>
          <w:rFonts w:ascii="Arial" w:hAnsi="Arial" w:cs="Arial"/>
          <w:lang w:val="en-US"/>
        </w:rPr>
        <w:t xml:space="preserve">The WI on </w:t>
      </w:r>
      <w:r w:rsidR="003D5E8E" w:rsidRPr="00AC3CD2">
        <w:rPr>
          <w:rFonts w:ascii="Arial" w:hAnsi="Arial" w:cs="Arial"/>
          <w:lang w:val="en-US"/>
        </w:rPr>
        <w:t xml:space="preserve">IoT NTN enhancements </w:t>
      </w:r>
      <w:r w:rsidR="005A63F0" w:rsidRPr="00AC3CD2">
        <w:rPr>
          <w:rFonts w:ascii="Arial" w:hAnsi="Arial" w:cs="Arial"/>
          <w:lang w:val="en-US"/>
        </w:rPr>
        <w:fldChar w:fldCharType="begin"/>
      </w:r>
      <w:r w:rsidR="005A63F0" w:rsidRPr="00AC3CD2">
        <w:rPr>
          <w:rFonts w:ascii="Arial" w:hAnsi="Arial" w:cs="Arial"/>
          <w:lang w:val="en-US"/>
        </w:rPr>
        <w:instrText xml:space="preserve"> REF _Ref110867306 \r \h </w:instrText>
      </w:r>
      <w:r w:rsidR="00AC3CD2">
        <w:rPr>
          <w:rFonts w:ascii="Arial" w:hAnsi="Arial" w:cs="Arial"/>
          <w:lang w:val="en-US"/>
        </w:rPr>
        <w:instrText xml:space="preserve"> \* MERGEFORMAT </w:instrText>
      </w:r>
      <w:r w:rsidR="005A63F0" w:rsidRPr="00AC3CD2">
        <w:rPr>
          <w:rFonts w:ascii="Arial" w:hAnsi="Arial" w:cs="Arial"/>
          <w:lang w:val="en-US"/>
        </w:rPr>
      </w:r>
      <w:r w:rsidR="005A63F0" w:rsidRPr="00AC3CD2">
        <w:rPr>
          <w:rFonts w:ascii="Arial" w:hAnsi="Arial" w:cs="Arial"/>
          <w:lang w:val="en-US"/>
        </w:rPr>
        <w:fldChar w:fldCharType="separate"/>
      </w:r>
      <w:r w:rsidR="005A63F0" w:rsidRPr="00AC3CD2">
        <w:rPr>
          <w:rFonts w:ascii="Arial" w:hAnsi="Arial" w:cs="Arial"/>
          <w:lang w:val="en-US"/>
        </w:rPr>
        <w:t>[1]</w:t>
      </w:r>
      <w:r w:rsidR="005A63F0" w:rsidRPr="00AC3CD2">
        <w:rPr>
          <w:rFonts w:ascii="Arial" w:hAnsi="Arial" w:cs="Arial"/>
          <w:lang w:val="en-US"/>
        </w:rPr>
        <w:fldChar w:fldCharType="end"/>
      </w:r>
      <w:r w:rsidRPr="00AC3CD2">
        <w:rPr>
          <w:rFonts w:ascii="Arial" w:hAnsi="Arial" w:cs="Arial"/>
          <w:lang w:val="en-US"/>
        </w:rPr>
        <w:t xml:space="preserve"> includes the</w:t>
      </w:r>
      <w:r w:rsidR="005A63F0" w:rsidRPr="00AC3CD2">
        <w:rPr>
          <w:rFonts w:ascii="Arial" w:hAnsi="Arial" w:cs="Arial"/>
          <w:lang w:val="en-US"/>
        </w:rPr>
        <w:t xml:space="preserve"> </w:t>
      </w:r>
      <w:r w:rsidRPr="00AC3CD2">
        <w:rPr>
          <w:rFonts w:ascii="Arial" w:hAnsi="Arial" w:cs="Arial"/>
          <w:lang w:val="en-US"/>
        </w:rPr>
        <w:t xml:space="preserve">following objectives for </w:t>
      </w:r>
      <w:r w:rsidR="00FE1F7F" w:rsidRPr="00AC3CD2">
        <w:rPr>
          <w:rFonts w:ascii="Arial" w:hAnsi="Arial" w:cs="Arial"/>
          <w:lang w:val="en-US"/>
        </w:rPr>
        <w:t>mobility</w:t>
      </w:r>
      <w:r w:rsidR="003D5E8E" w:rsidRPr="00AC3CD2">
        <w:rPr>
          <w:rFonts w:ascii="Arial" w:hAnsi="Arial" w:cs="Arial"/>
          <w:lang w:val="en-US"/>
        </w:rPr>
        <w:t xml:space="preserve"> enhancement</w:t>
      </w:r>
      <w:r w:rsidR="005A63F0" w:rsidRPr="00AC3CD2">
        <w:rPr>
          <w:rFonts w:ascii="Arial" w:hAnsi="Arial" w:cs="Arial"/>
          <w:lang w:val="en-US"/>
        </w:rPr>
        <w:t>:</w:t>
      </w:r>
      <w:r w:rsidRPr="00AC3CD2">
        <w:rPr>
          <w:rFonts w:ascii="Arial" w:hAnsi="Arial" w:cs="Arial"/>
          <w:lang w:val="en-US"/>
        </w:rPr>
        <w:t xml:space="preserve"> </w:t>
      </w:r>
    </w:p>
    <w:p w14:paraId="67F4B437" w14:textId="44C72437" w:rsidR="00D80ED7" w:rsidRPr="00AC3CD2" w:rsidRDefault="00D80ED7" w:rsidP="00E06B61">
      <w:pPr>
        <w:jc w:val="both"/>
        <w:rPr>
          <w:rFonts w:ascii="Arial" w:hAnsi="Arial" w:cs="Arial"/>
          <w:lang w:val="en-US"/>
        </w:rPr>
      </w:pPr>
    </w:p>
    <w:tbl>
      <w:tblPr>
        <w:tblStyle w:val="TableGrid"/>
        <w:tblW w:w="0" w:type="auto"/>
        <w:tblLook w:val="04A0" w:firstRow="1" w:lastRow="0" w:firstColumn="1" w:lastColumn="0" w:noHBand="0" w:noVBand="1"/>
      </w:tblPr>
      <w:tblGrid>
        <w:gridCol w:w="9629"/>
      </w:tblGrid>
      <w:tr w:rsidR="00B64ACB" w:rsidRPr="00AC3CD2" w14:paraId="7EB198DC" w14:textId="77777777" w:rsidTr="005924EE">
        <w:tc>
          <w:tcPr>
            <w:tcW w:w="9629" w:type="dxa"/>
          </w:tcPr>
          <w:p w14:paraId="620D29C4" w14:textId="77777777" w:rsidR="005924EE" w:rsidRPr="00756D29" w:rsidRDefault="005924EE" w:rsidP="005924EE">
            <w:r w:rsidRPr="00756D29">
              <w:t>The following mobility enhancements objectives are listed.</w:t>
            </w:r>
          </w:p>
          <w:p w14:paraId="2E082B3B" w14:textId="77777777" w:rsidR="005924EE" w:rsidRDefault="005924EE" w:rsidP="005924EE">
            <w:pPr>
              <w:pStyle w:val="B1"/>
            </w:pPr>
            <w:r>
              <w:t>-</w:t>
            </w:r>
            <w:r>
              <w:tab/>
            </w:r>
            <w:r w:rsidRPr="00756D29">
              <w:t>Support of neighbo</w:t>
            </w:r>
            <w:r>
              <w:t>u</w:t>
            </w:r>
            <w:r w:rsidRPr="00756D29">
              <w:t>r cell measurements and corresponding measurement triggering before RLF, using Rel</w:t>
            </w:r>
            <w:r w:rsidRPr="00756D29">
              <w:noBreakHyphen/>
              <w:t xml:space="preserve">17 (TN) NB-IoT, </w:t>
            </w:r>
            <w:proofErr w:type="spellStart"/>
            <w:r w:rsidRPr="00756D29">
              <w:t>eMTC</w:t>
            </w:r>
            <w:proofErr w:type="spellEnd"/>
            <w:r w:rsidRPr="00756D29">
              <w:t xml:space="preserve"> as a baseline. [RAN2]</w:t>
            </w:r>
          </w:p>
          <w:p w14:paraId="0A6F46E9" w14:textId="77777777" w:rsidR="005924EE" w:rsidRPr="00756D29" w:rsidRDefault="005924EE" w:rsidP="005924EE">
            <w:pPr>
              <w:pStyle w:val="B1"/>
            </w:pPr>
            <w:r>
              <w:t>-</w:t>
            </w:r>
            <w:r>
              <w:tab/>
              <w:t xml:space="preserve">Support signalling in system information of neighbour cell ephemeris, for </w:t>
            </w:r>
            <w:proofErr w:type="spellStart"/>
            <w:r>
              <w:t>eMTC</w:t>
            </w:r>
            <w:proofErr w:type="spellEnd"/>
            <w:r>
              <w:t xml:space="preserve"> and NB-IoT [RAN2]</w:t>
            </w:r>
          </w:p>
          <w:p w14:paraId="6A000F44" w14:textId="77777777" w:rsidR="005924EE" w:rsidRDefault="005924EE" w:rsidP="005924EE">
            <w:pPr>
              <w:pStyle w:val="B1"/>
            </w:pPr>
            <w:r>
              <w:t>-</w:t>
            </w:r>
            <w:r>
              <w:tab/>
            </w:r>
            <w:r w:rsidRPr="00756D29">
              <w:t xml:space="preserve">Re-use the solutions introduced in Rel-17 NR NTN for mobility enhancements for </w:t>
            </w:r>
            <w:proofErr w:type="spellStart"/>
            <w:r w:rsidRPr="00756D29">
              <w:t>eMTC</w:t>
            </w:r>
            <w:proofErr w:type="spellEnd"/>
            <w:r w:rsidRPr="00756D29">
              <w:t xml:space="preserve">, with minimum necessary changes to adapt them to </w:t>
            </w:r>
            <w:proofErr w:type="spellStart"/>
            <w:r w:rsidRPr="00756D29">
              <w:t>eMTC</w:t>
            </w:r>
            <w:proofErr w:type="spellEnd"/>
            <w:r w:rsidRPr="00756D29">
              <w:t xml:space="preserve"> [RAN2]</w:t>
            </w:r>
          </w:p>
          <w:p w14:paraId="1F568D81" w14:textId="77777777" w:rsidR="005924EE" w:rsidRPr="00756D29" w:rsidRDefault="005924EE" w:rsidP="005924EE">
            <w:pPr>
              <w:pStyle w:val="B1"/>
              <w:numPr>
                <w:ilvl w:val="0"/>
                <w:numId w:val="29"/>
              </w:numPr>
              <w:overflowPunct w:val="0"/>
              <w:autoSpaceDE w:val="0"/>
              <w:autoSpaceDN w:val="0"/>
              <w:adjustRightInd w:val="0"/>
              <w:ind w:left="567" w:hanging="283"/>
              <w:textAlignment w:val="baseline"/>
            </w:pPr>
            <w:r>
              <w:t>Define UE RRM core requirements for the above mobility enhancement features [RAN4].</w:t>
            </w:r>
          </w:p>
          <w:p w14:paraId="6215F053" w14:textId="4A92C01F" w:rsidR="00B64ACB" w:rsidRPr="00AC3CD2" w:rsidRDefault="00B64ACB" w:rsidP="00C17C32">
            <w:pPr>
              <w:pStyle w:val="B1"/>
              <w:rPr>
                <w:rFonts w:ascii="Arial" w:hAnsi="Arial" w:cs="Arial"/>
              </w:rPr>
            </w:pPr>
          </w:p>
        </w:tc>
      </w:tr>
    </w:tbl>
    <w:p w14:paraId="26C535DD" w14:textId="77777777" w:rsidR="00B64ACB" w:rsidRPr="00AC3CD2" w:rsidRDefault="00B64ACB" w:rsidP="00E06B61">
      <w:pPr>
        <w:jc w:val="both"/>
        <w:rPr>
          <w:rFonts w:ascii="Arial" w:hAnsi="Arial" w:cs="Arial"/>
          <w:lang w:val="en-US"/>
        </w:rPr>
      </w:pPr>
    </w:p>
    <w:p w14:paraId="12AA5C8E" w14:textId="65757AF7" w:rsidR="008C6F64" w:rsidRDefault="008C6F64" w:rsidP="00E06B61">
      <w:pPr>
        <w:jc w:val="both"/>
        <w:rPr>
          <w:rFonts w:ascii="Arial" w:hAnsi="Arial" w:cs="Arial"/>
          <w:lang w:val="en-US"/>
        </w:rPr>
      </w:pPr>
      <w:r>
        <w:rPr>
          <w:rFonts w:ascii="Arial" w:hAnsi="Arial" w:cs="Arial"/>
          <w:lang w:val="en-US"/>
        </w:rPr>
        <w:t>In RAN2#1</w:t>
      </w:r>
      <w:r w:rsidR="00EC4862">
        <w:rPr>
          <w:rFonts w:ascii="Arial" w:hAnsi="Arial" w:cs="Arial"/>
          <w:lang w:val="en-US"/>
        </w:rPr>
        <w:t>1</w:t>
      </w:r>
      <w:r>
        <w:rPr>
          <w:rFonts w:ascii="Arial" w:hAnsi="Arial" w:cs="Arial"/>
          <w:lang w:val="en-US"/>
        </w:rPr>
        <w:t>9</w:t>
      </w:r>
      <w:r w:rsidR="00EC4862">
        <w:rPr>
          <w:rFonts w:ascii="Arial" w:hAnsi="Arial" w:cs="Arial"/>
          <w:lang w:val="en-US"/>
        </w:rPr>
        <w:t>e</w:t>
      </w:r>
      <w:r>
        <w:rPr>
          <w:rFonts w:ascii="Arial" w:hAnsi="Arial" w:cs="Arial"/>
          <w:lang w:val="en-US"/>
        </w:rPr>
        <w:t xml:space="preserve"> the following agreements were made:</w:t>
      </w:r>
    </w:p>
    <w:p w14:paraId="18FF366B" w14:textId="77777777" w:rsidR="008C6F64" w:rsidRDefault="008C6F64" w:rsidP="008C6F64">
      <w:pPr>
        <w:pStyle w:val="Doc-text2"/>
        <w:pBdr>
          <w:top w:val="single" w:sz="4" w:space="1" w:color="auto"/>
          <w:left w:val="single" w:sz="4" w:space="4" w:color="auto"/>
          <w:bottom w:val="single" w:sz="4" w:space="1" w:color="auto"/>
          <w:right w:val="single" w:sz="4" w:space="4" w:color="auto"/>
        </w:pBdr>
      </w:pPr>
      <w:r w:rsidRPr="006104CA">
        <w:t>Agreements:</w:t>
      </w:r>
    </w:p>
    <w:p w14:paraId="11D76058" w14:textId="77777777" w:rsidR="008C6F64" w:rsidRDefault="008C6F64" w:rsidP="008C6F64">
      <w:pPr>
        <w:pStyle w:val="Doc-text2"/>
        <w:numPr>
          <w:ilvl w:val="0"/>
          <w:numId w:val="25"/>
        </w:numPr>
        <w:pBdr>
          <w:top w:val="single" w:sz="4" w:space="1" w:color="auto"/>
          <w:left w:val="single" w:sz="4" w:space="4" w:color="auto"/>
          <w:bottom w:val="single" w:sz="4" w:space="1" w:color="auto"/>
          <w:right w:val="single" w:sz="4" w:space="4" w:color="auto"/>
        </w:pBdr>
      </w:pPr>
      <w:r>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w:t>
      </w:r>
      <w:proofErr w:type="gramStart"/>
      <w:r>
        <w:t>e.g.</w:t>
      </w:r>
      <w:proofErr w:type="gramEnd"/>
      <w:r>
        <w:t xml:space="preserve"> triggers) for both NB-IoT and </w:t>
      </w:r>
      <w:proofErr w:type="spellStart"/>
      <w:r>
        <w:t>eMTC</w:t>
      </w:r>
      <w:proofErr w:type="spellEnd"/>
      <w:r>
        <w:t>.</w:t>
      </w:r>
    </w:p>
    <w:p w14:paraId="0E97CFA9" w14:textId="77777777" w:rsidR="008C6F64" w:rsidRDefault="008C6F64" w:rsidP="008C6F64">
      <w:pPr>
        <w:pStyle w:val="Doc-text2"/>
        <w:numPr>
          <w:ilvl w:val="0"/>
          <w:numId w:val="25"/>
        </w:numPr>
        <w:pBdr>
          <w:top w:val="single" w:sz="4" w:space="1" w:color="auto"/>
          <w:left w:val="single" w:sz="4" w:space="4" w:color="auto"/>
          <w:bottom w:val="single" w:sz="4" w:space="1" w:color="auto"/>
          <w:right w:val="single" w:sz="4" w:space="4" w:color="auto"/>
        </w:pBdr>
      </w:pPr>
      <w: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71064901" w14:textId="77777777" w:rsidR="008C6F64" w:rsidRDefault="008C6F64" w:rsidP="008C6F64">
      <w:pPr>
        <w:pStyle w:val="Doc-text2"/>
        <w:numPr>
          <w:ilvl w:val="0"/>
          <w:numId w:val="25"/>
        </w:numPr>
        <w:pBdr>
          <w:top w:val="single" w:sz="4" w:space="1" w:color="auto"/>
          <w:left w:val="single" w:sz="4" w:space="4" w:color="auto"/>
          <w:bottom w:val="single" w:sz="4" w:space="1" w:color="auto"/>
          <w:right w:val="single" w:sz="4" w:space="4" w:color="auto"/>
        </w:pBdr>
      </w:pPr>
      <w:r>
        <w:t xml:space="preserve">CHO enhancements for </w:t>
      </w:r>
      <w:proofErr w:type="spellStart"/>
      <w:r>
        <w:t>eMTC</w:t>
      </w:r>
      <w:proofErr w:type="spellEnd"/>
      <w:r>
        <w:t xml:space="preserve"> NTN (i.e. time/timer based solution) are introduced based on the R17 NR NTN solution. FFS on location-based solution</w:t>
      </w:r>
    </w:p>
    <w:p w14:paraId="192B9790" w14:textId="77777777" w:rsidR="008C6F64" w:rsidRDefault="008C6F64" w:rsidP="008C6F64">
      <w:pPr>
        <w:pStyle w:val="Doc-text2"/>
        <w:numPr>
          <w:ilvl w:val="0"/>
          <w:numId w:val="25"/>
        </w:numPr>
        <w:pBdr>
          <w:top w:val="single" w:sz="4" w:space="1" w:color="auto"/>
          <w:left w:val="single" w:sz="4" w:space="4" w:color="auto"/>
          <w:bottom w:val="single" w:sz="4" w:space="1" w:color="auto"/>
          <w:right w:val="single" w:sz="4" w:space="4" w:color="auto"/>
        </w:pBdr>
      </w:pPr>
      <w:r>
        <w:t>Measurement results reporting is not supported in Rel-18 NB-IoT NTN.</w:t>
      </w:r>
    </w:p>
    <w:p w14:paraId="78B37E3F" w14:textId="69291B4F" w:rsidR="008C6F64" w:rsidRDefault="008C6F64" w:rsidP="00E06B61">
      <w:pPr>
        <w:jc w:val="both"/>
        <w:rPr>
          <w:rFonts w:ascii="Arial" w:hAnsi="Arial" w:cs="Arial"/>
        </w:rPr>
      </w:pPr>
    </w:p>
    <w:p w14:paraId="69099198" w14:textId="20178188" w:rsidR="00F802F6" w:rsidRDefault="00F802F6" w:rsidP="00E06B61">
      <w:pPr>
        <w:jc w:val="both"/>
        <w:rPr>
          <w:rFonts w:ascii="Arial" w:hAnsi="Arial" w:cs="Arial"/>
        </w:rPr>
      </w:pPr>
      <w:r>
        <w:rPr>
          <w:rFonts w:ascii="Arial" w:hAnsi="Arial" w:cs="Arial"/>
        </w:rPr>
        <w:t>In RAN2#1</w:t>
      </w:r>
      <w:r w:rsidR="00716EF2">
        <w:rPr>
          <w:rFonts w:ascii="Arial" w:hAnsi="Arial" w:cs="Arial"/>
        </w:rPr>
        <w:t>19</w:t>
      </w:r>
      <w:r>
        <w:rPr>
          <w:rFonts w:ascii="Arial" w:hAnsi="Arial" w:cs="Arial"/>
        </w:rPr>
        <w:t xml:space="preserve">bis-e no further agreements were made despite the email discussion </w:t>
      </w:r>
      <w:r>
        <w:rPr>
          <w:rFonts w:ascii="Arial" w:hAnsi="Arial" w:cs="Arial"/>
        </w:rPr>
        <w:fldChar w:fldCharType="begin"/>
      </w:r>
      <w:r>
        <w:rPr>
          <w:rFonts w:ascii="Arial" w:hAnsi="Arial" w:cs="Arial"/>
        </w:rPr>
        <w:instrText xml:space="preserve"> REF _Ref118350373 \r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p>
    <w:p w14:paraId="4BF20907" w14:textId="0B36A896" w:rsidR="00F802F6" w:rsidRDefault="00F802F6" w:rsidP="00E06B61">
      <w:pPr>
        <w:jc w:val="both"/>
        <w:rPr>
          <w:rFonts w:ascii="Arial" w:hAnsi="Arial" w:cs="Arial"/>
        </w:rPr>
      </w:pPr>
    </w:p>
    <w:p w14:paraId="4AEE4195" w14:textId="0ED4D905" w:rsidR="005924EE" w:rsidRDefault="005924EE" w:rsidP="00E06B61">
      <w:pPr>
        <w:jc w:val="both"/>
        <w:rPr>
          <w:rFonts w:ascii="Arial" w:hAnsi="Arial" w:cs="Arial"/>
        </w:rPr>
      </w:pPr>
      <w:r>
        <w:rPr>
          <w:rFonts w:ascii="Arial" w:hAnsi="Arial" w:cs="Arial"/>
        </w:rPr>
        <w:t>In RAN2#120 the following agreements were made:</w:t>
      </w:r>
    </w:p>
    <w:tbl>
      <w:tblPr>
        <w:tblStyle w:val="TableGrid"/>
        <w:tblW w:w="0" w:type="auto"/>
        <w:tblLook w:val="04A0" w:firstRow="1" w:lastRow="0" w:firstColumn="1" w:lastColumn="0" w:noHBand="0" w:noVBand="1"/>
      </w:tblPr>
      <w:tblGrid>
        <w:gridCol w:w="9629"/>
      </w:tblGrid>
      <w:tr w:rsidR="00FE1385" w14:paraId="39FCDB25" w14:textId="77777777" w:rsidTr="005924EE">
        <w:tc>
          <w:tcPr>
            <w:tcW w:w="9629" w:type="dxa"/>
          </w:tcPr>
          <w:p w14:paraId="000F4CBD" w14:textId="77777777" w:rsidR="005924EE" w:rsidRPr="005924EE" w:rsidRDefault="005924EE" w:rsidP="005924EE">
            <w:pPr>
              <w:jc w:val="both"/>
              <w:rPr>
                <w:rFonts w:ascii="Arial" w:hAnsi="Arial" w:cs="Arial"/>
              </w:rPr>
            </w:pPr>
            <w:r w:rsidRPr="005924EE">
              <w:rPr>
                <w:rFonts w:ascii="Arial" w:hAnsi="Arial" w:cs="Arial"/>
              </w:rPr>
              <w:t>Agreements:</w:t>
            </w:r>
          </w:p>
          <w:p w14:paraId="48D5297C" w14:textId="34A55097" w:rsidR="005924EE" w:rsidRPr="0093396F" w:rsidRDefault="005924EE" w:rsidP="0093396F">
            <w:pPr>
              <w:pStyle w:val="ListParagraph"/>
              <w:numPr>
                <w:ilvl w:val="0"/>
                <w:numId w:val="30"/>
              </w:numPr>
              <w:jc w:val="both"/>
              <w:rPr>
                <w:rFonts w:ascii="Arial" w:hAnsi="Arial" w:cs="Arial"/>
              </w:rPr>
            </w:pPr>
            <w:r w:rsidRPr="0093396F">
              <w:rPr>
                <w:rFonts w:ascii="Arial" w:eastAsia="Malgun Gothic" w:hAnsi="Arial" w:cs="Arial"/>
              </w:rPr>
              <w:t xml:space="preserve">For NB-IoT we support a trigger for neighbour cell measurements based on T-service (in the quasi-Earth fixed case) (this does not preclude anything for </w:t>
            </w:r>
            <w:proofErr w:type="spellStart"/>
            <w:r w:rsidRPr="0093396F">
              <w:rPr>
                <w:rFonts w:ascii="Arial" w:eastAsia="Malgun Gothic" w:hAnsi="Arial" w:cs="Arial"/>
              </w:rPr>
              <w:t>eMTC</w:t>
            </w:r>
            <w:proofErr w:type="spellEnd"/>
            <w:r w:rsidRPr="0093396F">
              <w:rPr>
                <w:rFonts w:ascii="Arial" w:eastAsia="Malgun Gothic" w:hAnsi="Arial" w:cs="Arial"/>
              </w:rPr>
              <w:t xml:space="preserve"> discussion)</w:t>
            </w:r>
          </w:p>
          <w:p w14:paraId="2ADB0382" w14:textId="77777777" w:rsidR="005924EE" w:rsidRDefault="005924EE" w:rsidP="005924EE">
            <w:pPr>
              <w:jc w:val="both"/>
              <w:rPr>
                <w:rFonts w:ascii="Arial" w:hAnsi="Arial" w:cs="Arial"/>
              </w:rPr>
            </w:pPr>
          </w:p>
          <w:p w14:paraId="40C05A19" w14:textId="77777777" w:rsidR="005924EE" w:rsidRPr="005924EE" w:rsidRDefault="005924EE" w:rsidP="005924EE">
            <w:pPr>
              <w:jc w:val="both"/>
              <w:rPr>
                <w:rFonts w:ascii="Arial" w:hAnsi="Arial" w:cs="Arial"/>
              </w:rPr>
            </w:pPr>
            <w:r w:rsidRPr="005924EE">
              <w:rPr>
                <w:rFonts w:ascii="Arial" w:hAnsi="Arial" w:cs="Arial"/>
              </w:rPr>
              <w:t>Agreements:</w:t>
            </w:r>
          </w:p>
          <w:p w14:paraId="0985BB70" w14:textId="77777777" w:rsidR="005924EE" w:rsidRDefault="005924EE" w:rsidP="0019011A">
            <w:pPr>
              <w:pStyle w:val="ListParagraph"/>
              <w:numPr>
                <w:ilvl w:val="0"/>
                <w:numId w:val="31"/>
              </w:numPr>
              <w:jc w:val="both"/>
              <w:rPr>
                <w:rFonts w:ascii="Arial" w:eastAsia="Malgun Gothic" w:hAnsi="Arial" w:cs="Arial"/>
              </w:rPr>
            </w:pPr>
            <w:r w:rsidRPr="0093396F">
              <w:rPr>
                <w:rFonts w:ascii="Arial" w:eastAsia="Malgun Gothic" w:hAnsi="Arial" w:cs="Arial"/>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15AEC8A0" w14:textId="77777777" w:rsidR="005924EE" w:rsidRDefault="005924EE" w:rsidP="00884367">
            <w:pPr>
              <w:pStyle w:val="ListParagraph"/>
              <w:numPr>
                <w:ilvl w:val="0"/>
                <w:numId w:val="31"/>
              </w:numPr>
              <w:jc w:val="both"/>
              <w:rPr>
                <w:rFonts w:ascii="Arial" w:eastAsia="Malgun Gothic" w:hAnsi="Arial" w:cs="Arial"/>
              </w:rPr>
            </w:pPr>
            <w:r w:rsidRPr="005924EE">
              <w:rPr>
                <w:rFonts w:ascii="Arial" w:eastAsia="Malgun Gothic" w:hAnsi="Arial" w:cs="Arial"/>
              </w:rPr>
              <w:t>RAN2 will not specify the condition of stopping UE measurement before t-Service</w:t>
            </w:r>
          </w:p>
          <w:p w14:paraId="0F9B0404" w14:textId="77777777" w:rsidR="005924EE" w:rsidRDefault="005924EE" w:rsidP="005924EE">
            <w:pPr>
              <w:pStyle w:val="ListParagraph"/>
              <w:numPr>
                <w:ilvl w:val="0"/>
                <w:numId w:val="31"/>
              </w:numPr>
              <w:jc w:val="both"/>
              <w:rPr>
                <w:rFonts w:ascii="Arial" w:eastAsia="Malgun Gothic" w:hAnsi="Arial" w:cs="Arial"/>
              </w:rPr>
            </w:pPr>
            <w:r w:rsidRPr="005924EE">
              <w:rPr>
                <w:rFonts w:ascii="Arial" w:eastAsia="Malgun Gothic" w:hAnsi="Arial" w:cs="Arial"/>
              </w:rPr>
              <w:t>For earth-moving cell, the UE derives when loss of coverage of current cell happens (how to derive this information is FFS)</w:t>
            </w:r>
          </w:p>
          <w:p w14:paraId="1DC63FB8" w14:textId="5D36850C" w:rsidR="005924EE" w:rsidRPr="0093396F" w:rsidRDefault="005924EE" w:rsidP="0093396F">
            <w:pPr>
              <w:pStyle w:val="ListParagraph"/>
              <w:numPr>
                <w:ilvl w:val="0"/>
                <w:numId w:val="31"/>
              </w:numPr>
              <w:jc w:val="both"/>
              <w:rPr>
                <w:rFonts w:ascii="Arial" w:hAnsi="Arial" w:cs="Arial"/>
              </w:rPr>
            </w:pPr>
            <w:r w:rsidRPr="005924EE">
              <w:rPr>
                <w:rFonts w:ascii="Arial" w:eastAsia="Malgun Gothic" w:hAnsi="Arial" w:cs="Arial"/>
              </w:rPr>
              <w:lastRenderedPageBreak/>
              <w:t>For earth-moving cell, UE shall start intra/inter frequency measurements in RRC connected mode before losing coverage. The exact time to start measurements can be left to UE implementation</w:t>
            </w:r>
          </w:p>
        </w:tc>
      </w:tr>
    </w:tbl>
    <w:p w14:paraId="16965196" w14:textId="77777777" w:rsidR="005924EE" w:rsidRPr="008C6F64" w:rsidRDefault="005924EE" w:rsidP="00E06B61">
      <w:pPr>
        <w:jc w:val="both"/>
        <w:rPr>
          <w:rFonts w:ascii="Arial" w:hAnsi="Arial" w:cs="Arial"/>
        </w:rPr>
      </w:pPr>
    </w:p>
    <w:p w14:paraId="6380314B" w14:textId="77777777" w:rsidR="00B474EC" w:rsidRPr="00AC3CD2" w:rsidRDefault="00B474EC" w:rsidP="00B474EC">
      <w:pPr>
        <w:rPr>
          <w:rFonts w:ascii="Arial" w:hAnsi="Arial" w:cs="Arial"/>
        </w:rPr>
      </w:pPr>
      <w:r>
        <w:rPr>
          <w:rFonts w:ascii="Arial" w:hAnsi="Arial" w:cs="Arial"/>
        </w:rPr>
        <w:t>F</w:t>
      </w:r>
      <w:r w:rsidRPr="00AC3CD2">
        <w:rPr>
          <w:rFonts w:ascii="Arial" w:hAnsi="Arial" w:cs="Arial"/>
        </w:rPr>
        <w:t>or both NR and IoT</w:t>
      </w:r>
      <w:r>
        <w:rPr>
          <w:rFonts w:ascii="Arial" w:hAnsi="Arial" w:cs="Arial"/>
        </w:rPr>
        <w:t xml:space="preserve"> NTN</w:t>
      </w:r>
      <w:r w:rsidRPr="00AC3CD2">
        <w:rPr>
          <w:rFonts w:ascii="Arial" w:hAnsi="Arial" w:cs="Arial"/>
        </w:rPr>
        <w:t xml:space="preserve">, mobility enhancements so far have mainly introduced </w:t>
      </w:r>
      <w:r>
        <w:rPr>
          <w:rFonts w:ascii="Arial" w:hAnsi="Arial" w:cs="Arial"/>
        </w:rPr>
        <w:t>additional</w:t>
      </w:r>
      <w:r w:rsidRPr="00AC3CD2">
        <w:rPr>
          <w:rFonts w:ascii="Arial" w:hAnsi="Arial" w:cs="Arial"/>
        </w:rPr>
        <w:t xml:space="preserve"> triggers for cell reselection, measurement reporting, and CHO. This is due to the</w:t>
      </w:r>
      <w:r>
        <w:rPr>
          <w:rFonts w:ascii="Arial" w:hAnsi="Arial" w:cs="Arial"/>
        </w:rPr>
        <w:t xml:space="preserve"> predictability of satellite movement, and </w:t>
      </w:r>
      <w:r w:rsidRPr="00AC3CD2">
        <w:rPr>
          <w:rFonts w:ascii="Arial" w:hAnsi="Arial" w:cs="Arial"/>
        </w:rPr>
        <w:t>recogni</w:t>
      </w:r>
      <w:r>
        <w:rPr>
          <w:rFonts w:ascii="Arial" w:hAnsi="Arial" w:cs="Arial"/>
        </w:rPr>
        <w:t>tion</w:t>
      </w:r>
      <w:r w:rsidRPr="00AC3CD2">
        <w:rPr>
          <w:rFonts w:ascii="Arial" w:hAnsi="Arial" w:cs="Arial"/>
        </w:rPr>
        <w:t xml:space="preserve"> that RSRP based triggers are less effective in NTN cells due to a more uniform RSRP measurement across the cell</w:t>
      </w:r>
      <w:r>
        <w:rPr>
          <w:rFonts w:ascii="Arial" w:hAnsi="Arial" w:cs="Arial"/>
        </w:rPr>
        <w:t xml:space="preserve"> (as compared to terrestrial networks)</w:t>
      </w:r>
      <w:r w:rsidRPr="00AC3CD2">
        <w:rPr>
          <w:rFonts w:ascii="Arial" w:hAnsi="Arial" w:cs="Arial"/>
        </w:rPr>
        <w:t>.</w:t>
      </w:r>
    </w:p>
    <w:p w14:paraId="5A78215E" w14:textId="77777777" w:rsidR="00B474EC" w:rsidRDefault="00B474EC" w:rsidP="00E06B61">
      <w:pPr>
        <w:jc w:val="both"/>
        <w:rPr>
          <w:rFonts w:ascii="Arial" w:hAnsi="Arial" w:cs="Arial"/>
        </w:rPr>
      </w:pPr>
    </w:p>
    <w:p w14:paraId="3D9A87E5" w14:textId="23EFDE31" w:rsidR="004316C0" w:rsidRPr="00AC3CD2" w:rsidRDefault="00B64ACB" w:rsidP="00E06B61">
      <w:pPr>
        <w:jc w:val="both"/>
        <w:rPr>
          <w:rFonts w:ascii="Arial" w:hAnsi="Arial" w:cs="Arial"/>
          <w:lang w:val="en-US"/>
        </w:rPr>
      </w:pPr>
      <w:r w:rsidRPr="00AC3CD2">
        <w:rPr>
          <w:rFonts w:ascii="Arial" w:hAnsi="Arial" w:cs="Arial"/>
          <w:lang w:val="en-US"/>
        </w:rPr>
        <w:t xml:space="preserve">In this contribution we </w:t>
      </w:r>
      <w:r w:rsidR="008C6F64">
        <w:rPr>
          <w:rFonts w:ascii="Arial" w:hAnsi="Arial" w:cs="Arial"/>
          <w:lang w:val="en-US"/>
        </w:rPr>
        <w:t>elaborate on the</w:t>
      </w:r>
      <w:r w:rsidRPr="00AC3CD2">
        <w:rPr>
          <w:rFonts w:ascii="Arial" w:hAnsi="Arial" w:cs="Arial"/>
          <w:lang w:val="en-US"/>
        </w:rPr>
        <w:t xml:space="preserve"> </w:t>
      </w:r>
      <w:r w:rsidR="00523801" w:rsidRPr="00AC3CD2">
        <w:rPr>
          <w:rFonts w:ascii="Arial" w:hAnsi="Arial" w:cs="Arial"/>
          <w:lang w:val="en-US"/>
        </w:rPr>
        <w:t>potential impact</w:t>
      </w:r>
      <w:r w:rsidR="00B474EC">
        <w:rPr>
          <w:rFonts w:ascii="Arial" w:hAnsi="Arial" w:cs="Arial"/>
          <w:lang w:val="en-US"/>
        </w:rPr>
        <w:t xml:space="preserve"> </w:t>
      </w:r>
      <w:r w:rsidR="00AB3F45">
        <w:rPr>
          <w:rFonts w:ascii="Arial" w:hAnsi="Arial" w:cs="Arial"/>
          <w:lang w:val="en-US"/>
        </w:rPr>
        <w:t xml:space="preserve">for NB-IoT and </w:t>
      </w:r>
      <w:proofErr w:type="spellStart"/>
      <w:r w:rsidR="00AB3F45">
        <w:rPr>
          <w:rFonts w:ascii="Arial" w:hAnsi="Arial" w:cs="Arial"/>
          <w:lang w:val="en-US"/>
        </w:rPr>
        <w:t>eMTC</w:t>
      </w:r>
      <w:proofErr w:type="spellEnd"/>
      <w:r w:rsidR="00AB3F45">
        <w:rPr>
          <w:rFonts w:ascii="Arial" w:hAnsi="Arial" w:cs="Arial"/>
          <w:lang w:val="en-US"/>
        </w:rPr>
        <w:t xml:space="preserve"> NTN mobility enhancement in Rel-18.</w:t>
      </w:r>
    </w:p>
    <w:p w14:paraId="552A99B5" w14:textId="7C97D4E5" w:rsidR="0030215B" w:rsidRPr="00AC3CD2" w:rsidRDefault="00B474EC" w:rsidP="0030215B">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B474EC">
        <w:rPr>
          <w:rFonts w:ascii="Arial" w:hAnsi="Arial" w:cs="Arial"/>
        </w:rPr>
        <w:t xml:space="preserve">Neighbour cell measurements before RLF in NB-IoT </w:t>
      </w:r>
    </w:p>
    <w:p w14:paraId="6DF6928D" w14:textId="53B55896" w:rsidR="0039482C" w:rsidRPr="00AB3F45" w:rsidRDefault="0030215B" w:rsidP="00AB3F45">
      <w:pPr>
        <w:pStyle w:val="Heading2"/>
      </w:pPr>
      <w:r w:rsidRPr="00AB3F45">
        <w:rPr>
          <w:rStyle w:val="Emphasis"/>
          <w:i w:val="0"/>
          <w:iCs/>
        </w:rPr>
        <w:t>2.1</w:t>
      </w:r>
      <w:r w:rsidRPr="00AB3F45">
        <w:rPr>
          <w:rStyle w:val="Emphasis"/>
          <w:i w:val="0"/>
          <w:iCs/>
        </w:rPr>
        <w:tab/>
      </w:r>
      <w:r w:rsidR="00B474EC" w:rsidRPr="00AB3F45">
        <w:t>Background</w:t>
      </w:r>
    </w:p>
    <w:p w14:paraId="50960718" w14:textId="77777777" w:rsidR="00F84AD9" w:rsidRPr="00AC3CD2" w:rsidRDefault="00F84AD9" w:rsidP="00486FBF">
      <w:pPr>
        <w:rPr>
          <w:rFonts w:ascii="Arial" w:hAnsi="Arial" w:cs="Arial"/>
          <w:lang w:val="en-US"/>
        </w:rPr>
      </w:pPr>
    </w:p>
    <w:p w14:paraId="3F87B5F9" w14:textId="77777777" w:rsidR="001123B7" w:rsidRDefault="00F84AD9" w:rsidP="00486FBF">
      <w:pPr>
        <w:rPr>
          <w:rFonts w:ascii="Arial" w:hAnsi="Arial" w:cs="Arial"/>
          <w:lang w:val="en-US"/>
        </w:rPr>
      </w:pPr>
      <w:r w:rsidRPr="00AC3CD2">
        <w:rPr>
          <w:rFonts w:ascii="Arial" w:hAnsi="Arial" w:cs="Arial"/>
          <w:lang w:val="en-US"/>
        </w:rPr>
        <w:t>NB-IoT does not support connected mode measurements and handover. Instead, a m</w:t>
      </w:r>
      <w:r w:rsidR="008E15D3" w:rsidRPr="00AC3CD2">
        <w:rPr>
          <w:rFonts w:ascii="Arial" w:hAnsi="Arial" w:cs="Arial"/>
          <w:lang w:val="en-US"/>
        </w:rPr>
        <w:t xml:space="preserve">obile UE relies on RLF detection and re-establishment on a new cell. </w:t>
      </w:r>
    </w:p>
    <w:p w14:paraId="0B65582A" w14:textId="77777777" w:rsidR="001123B7" w:rsidRDefault="001123B7" w:rsidP="00486FBF">
      <w:pPr>
        <w:rPr>
          <w:rFonts w:ascii="Arial" w:hAnsi="Arial" w:cs="Arial"/>
          <w:lang w:val="en-US"/>
        </w:rPr>
      </w:pPr>
    </w:p>
    <w:p w14:paraId="3083CE01" w14:textId="184AFB08" w:rsidR="001123B7" w:rsidRDefault="001123B7" w:rsidP="00486FBF">
      <w:pPr>
        <w:rPr>
          <w:rFonts w:ascii="Arial" w:hAnsi="Arial" w:cs="Arial"/>
          <w:lang w:val="en-US"/>
        </w:rPr>
      </w:pPr>
      <w:r>
        <w:rPr>
          <w:rFonts w:ascii="Arial" w:hAnsi="Arial" w:cs="Arial"/>
          <w:lang w:val="en-US"/>
        </w:rPr>
        <w:t>Until Rel-16, the RLF procedure was as shown in figure 1 below:</w:t>
      </w:r>
    </w:p>
    <w:p w14:paraId="0F8D0EDE" w14:textId="7AE1E11D" w:rsidR="001123B7" w:rsidRDefault="001123B7" w:rsidP="0093396F">
      <w:pPr>
        <w:jc w:val="center"/>
        <w:rPr>
          <w:rFonts w:ascii="Arial" w:hAnsi="Arial" w:cs="Arial"/>
          <w:lang w:val="en-US"/>
        </w:rPr>
      </w:pPr>
      <w:r>
        <w:rPr>
          <w:rFonts w:ascii="Arial" w:hAnsi="Arial" w:cs="Arial"/>
          <w:noProof/>
          <w:lang w:val="en-US"/>
        </w:rPr>
        <w:drawing>
          <wp:inline distT="0" distB="0" distL="0" distR="0" wp14:anchorId="5978A85F" wp14:editId="14604352">
            <wp:extent cx="6183630" cy="18319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61345" cy="1854986"/>
                    </a:xfrm>
                    <a:prstGeom prst="rect">
                      <a:avLst/>
                    </a:prstGeom>
                    <a:noFill/>
                  </pic:spPr>
                </pic:pic>
              </a:graphicData>
            </a:graphic>
          </wp:inline>
        </w:drawing>
      </w:r>
    </w:p>
    <w:p w14:paraId="4686227A" w14:textId="4AAFCEB1" w:rsidR="001123B7" w:rsidRPr="001123B7" w:rsidRDefault="001123B7" w:rsidP="001123B7">
      <w:pPr>
        <w:jc w:val="center"/>
        <w:rPr>
          <w:rFonts w:ascii="Arial" w:hAnsi="Arial" w:cs="Arial"/>
          <w:b/>
          <w:bCs/>
          <w:lang w:val="en-US"/>
        </w:rPr>
      </w:pPr>
      <w:r w:rsidRPr="001123B7">
        <w:rPr>
          <w:rFonts w:ascii="Arial" w:hAnsi="Arial" w:cs="Arial"/>
          <w:b/>
          <w:bCs/>
          <w:lang w:val="en-US"/>
        </w:rPr>
        <w:t>Figure 1: RLF procedure in Rel-16</w:t>
      </w:r>
    </w:p>
    <w:p w14:paraId="55994593" w14:textId="77777777" w:rsidR="001123B7" w:rsidRDefault="001123B7" w:rsidP="00486FBF">
      <w:pPr>
        <w:rPr>
          <w:rFonts w:ascii="Arial" w:hAnsi="Arial" w:cs="Arial"/>
          <w:lang w:val="en-US"/>
        </w:rPr>
      </w:pPr>
    </w:p>
    <w:p w14:paraId="17E6D9DE" w14:textId="49F3FED3" w:rsidR="0039482C" w:rsidRPr="00AC3CD2" w:rsidRDefault="008E15D3" w:rsidP="00486FBF">
      <w:pPr>
        <w:rPr>
          <w:rFonts w:ascii="Arial" w:hAnsi="Arial" w:cs="Arial"/>
          <w:lang w:val="en-US"/>
        </w:rPr>
      </w:pPr>
      <w:r w:rsidRPr="00AC3CD2">
        <w:rPr>
          <w:rFonts w:ascii="Arial" w:hAnsi="Arial" w:cs="Arial"/>
          <w:lang w:val="en-US"/>
        </w:rPr>
        <w:t>T</w:t>
      </w:r>
      <w:r w:rsidR="00F84AD9" w:rsidRPr="00AC3CD2">
        <w:rPr>
          <w:rFonts w:ascii="Arial" w:hAnsi="Arial" w:cs="Arial"/>
          <w:lang w:val="en-US"/>
        </w:rPr>
        <w:t>o reduce the time taken to perform RLF re-</w:t>
      </w:r>
      <w:r w:rsidRPr="00AC3CD2">
        <w:rPr>
          <w:rFonts w:ascii="Arial" w:hAnsi="Arial" w:cs="Arial"/>
          <w:lang w:val="en-US"/>
        </w:rPr>
        <w:t>establishment, Rel-17 introduced a mechanism to allow the UE to perform measurements on neighboring cells before RLF is declared</w:t>
      </w:r>
      <w:r w:rsidR="007B3397" w:rsidRPr="00AC3CD2">
        <w:rPr>
          <w:rFonts w:ascii="Arial" w:hAnsi="Arial" w:cs="Arial"/>
          <w:lang w:val="en-US"/>
        </w:rPr>
        <w:t xml:space="preserve"> so that the UE can reduce the time needed to perform cell search before being able to re-establish on a new cell. </w:t>
      </w:r>
    </w:p>
    <w:p w14:paraId="1B348E07" w14:textId="4A395CE9" w:rsidR="007B3397" w:rsidRPr="00AC3CD2" w:rsidRDefault="007B3397" w:rsidP="00486FBF">
      <w:pPr>
        <w:rPr>
          <w:rFonts w:ascii="Arial" w:hAnsi="Arial" w:cs="Arial"/>
          <w:lang w:val="en-US"/>
        </w:rPr>
      </w:pPr>
    </w:p>
    <w:p w14:paraId="15AE4398" w14:textId="6D9ABB20" w:rsidR="007B3397" w:rsidRDefault="007B3397" w:rsidP="00486FBF">
      <w:pPr>
        <w:rPr>
          <w:rFonts w:ascii="Arial" w:hAnsi="Arial" w:cs="Arial"/>
          <w:lang w:val="en-US"/>
        </w:rPr>
      </w:pPr>
      <w:r w:rsidRPr="00AC3CD2">
        <w:rPr>
          <w:rFonts w:ascii="Arial" w:hAnsi="Arial" w:cs="Arial"/>
          <w:lang w:val="en-US"/>
        </w:rPr>
        <w:t>The measurements are triggered when the serving cell go</w:t>
      </w:r>
      <w:r w:rsidR="00B30128" w:rsidRPr="00AC3CD2">
        <w:rPr>
          <w:rFonts w:ascii="Arial" w:hAnsi="Arial" w:cs="Arial"/>
          <w:lang w:val="en-US"/>
        </w:rPr>
        <w:t>e</w:t>
      </w:r>
      <w:r w:rsidRPr="00AC3CD2">
        <w:rPr>
          <w:rFonts w:ascii="Arial" w:hAnsi="Arial" w:cs="Arial"/>
          <w:lang w:val="en-US"/>
        </w:rPr>
        <w:t>s below a threshold</w:t>
      </w:r>
      <w:r w:rsidR="00B30128" w:rsidRPr="00AC3CD2">
        <w:rPr>
          <w:rFonts w:ascii="Arial" w:hAnsi="Arial" w:cs="Arial"/>
          <w:lang w:val="en-US"/>
        </w:rPr>
        <w:t xml:space="preserve"> (s-</w:t>
      </w:r>
      <w:proofErr w:type="spellStart"/>
      <w:r w:rsidR="00B30128" w:rsidRPr="00AC3CD2">
        <w:rPr>
          <w:rFonts w:ascii="Arial" w:hAnsi="Arial" w:cs="Arial"/>
          <w:lang w:val="en-US"/>
        </w:rPr>
        <w:t>MeasureIntra</w:t>
      </w:r>
      <w:proofErr w:type="spellEnd"/>
      <w:r w:rsidR="00B30128" w:rsidRPr="00AC3CD2">
        <w:rPr>
          <w:rFonts w:ascii="Arial" w:hAnsi="Arial" w:cs="Arial"/>
          <w:lang w:val="en-US"/>
        </w:rPr>
        <w:t xml:space="preserve"> for intr</w:t>
      </w:r>
      <w:r w:rsidR="007C29C4">
        <w:rPr>
          <w:rFonts w:ascii="Arial" w:hAnsi="Arial" w:cs="Arial"/>
          <w:lang w:val="en-US"/>
        </w:rPr>
        <w:t>a</w:t>
      </w:r>
      <w:r w:rsidR="00B30128" w:rsidRPr="00AC3CD2">
        <w:rPr>
          <w:rFonts w:ascii="Arial" w:hAnsi="Arial" w:cs="Arial"/>
          <w:lang w:val="en-US"/>
        </w:rPr>
        <w:t>-frequency measurement and s-</w:t>
      </w:r>
      <w:proofErr w:type="spellStart"/>
      <w:r w:rsidR="00B30128" w:rsidRPr="00AC3CD2">
        <w:rPr>
          <w:rFonts w:ascii="Arial" w:hAnsi="Arial" w:cs="Arial"/>
          <w:lang w:val="en-US"/>
        </w:rPr>
        <w:t>MeasureInter</w:t>
      </w:r>
      <w:proofErr w:type="spellEnd"/>
      <w:r w:rsidR="00B30128" w:rsidRPr="00AC3CD2">
        <w:rPr>
          <w:rFonts w:ascii="Arial" w:hAnsi="Arial" w:cs="Arial"/>
          <w:lang w:val="en-US"/>
        </w:rPr>
        <w:t xml:space="preserve"> for inter-frequency measurements). The UE does not need to perform the measurements if </w:t>
      </w:r>
      <w:r w:rsidR="00032F92" w:rsidRPr="00AC3CD2">
        <w:rPr>
          <w:rFonts w:ascii="Arial" w:hAnsi="Arial" w:cs="Arial"/>
          <w:lang w:val="en-US"/>
        </w:rPr>
        <w:t xml:space="preserve">the RSRP variation is stable – this uses a similar mechanism as relaxed monitoring, and is based on the parameters </w:t>
      </w:r>
      <w:r w:rsidR="00244B34" w:rsidRPr="00AC3CD2">
        <w:rPr>
          <w:rFonts w:ascii="Arial" w:hAnsi="Arial" w:cs="Arial"/>
          <w:lang w:val="en-US"/>
        </w:rPr>
        <w:t>s-</w:t>
      </w:r>
      <w:proofErr w:type="spellStart"/>
      <w:r w:rsidR="00244B34" w:rsidRPr="00AC3CD2">
        <w:rPr>
          <w:rFonts w:ascii="Arial" w:hAnsi="Arial" w:cs="Arial"/>
          <w:lang w:val="en-US"/>
        </w:rPr>
        <w:t>MeasureDeltaP</w:t>
      </w:r>
      <w:proofErr w:type="spellEnd"/>
      <w:r w:rsidR="00244B34" w:rsidRPr="00AC3CD2">
        <w:rPr>
          <w:rFonts w:ascii="Arial" w:hAnsi="Arial" w:cs="Arial"/>
          <w:lang w:val="en-US"/>
        </w:rPr>
        <w:t xml:space="preserve"> and </w:t>
      </w:r>
      <w:r w:rsidR="009D6C88" w:rsidRPr="00AC3CD2">
        <w:rPr>
          <w:rFonts w:ascii="Arial" w:hAnsi="Arial" w:cs="Arial"/>
          <w:lang w:val="en-US"/>
        </w:rPr>
        <w:t>t-</w:t>
      </w:r>
      <w:proofErr w:type="spellStart"/>
      <w:r w:rsidR="009D6C88" w:rsidRPr="00AC3CD2">
        <w:rPr>
          <w:rFonts w:ascii="Arial" w:hAnsi="Arial" w:cs="Arial"/>
          <w:lang w:val="en-US"/>
        </w:rPr>
        <w:t>MeasureDeltaP</w:t>
      </w:r>
      <w:proofErr w:type="spellEnd"/>
      <w:r w:rsidR="009D6C88" w:rsidRPr="00AC3CD2">
        <w:rPr>
          <w:rFonts w:ascii="Arial" w:hAnsi="Arial" w:cs="Arial"/>
          <w:lang w:val="en-US"/>
        </w:rPr>
        <w:t>. Therefore, the measurements are triggered based on both a serving cell RSRP threshold and a serving cell RSRP variation, just like relaxed monitoring in NR, for example.</w:t>
      </w:r>
    </w:p>
    <w:p w14:paraId="7D9DD89D" w14:textId="2B8BF426" w:rsidR="001123B7" w:rsidRDefault="001123B7" w:rsidP="00486FBF">
      <w:pPr>
        <w:rPr>
          <w:rFonts w:ascii="Arial" w:hAnsi="Arial" w:cs="Arial"/>
          <w:lang w:val="en-US"/>
        </w:rPr>
      </w:pPr>
    </w:p>
    <w:p w14:paraId="33222C0C" w14:textId="5A21D6F5" w:rsidR="001123B7" w:rsidRDefault="001123B7" w:rsidP="00486FBF">
      <w:pPr>
        <w:rPr>
          <w:rFonts w:ascii="Arial" w:hAnsi="Arial" w:cs="Arial"/>
          <w:lang w:val="en-US"/>
        </w:rPr>
      </w:pPr>
      <w:r>
        <w:rPr>
          <w:rFonts w:ascii="Arial" w:hAnsi="Arial" w:cs="Arial"/>
          <w:lang w:val="en-US"/>
        </w:rPr>
        <w:t>The enhancement in Rel-17 Is shown in figure 2.</w:t>
      </w:r>
    </w:p>
    <w:p w14:paraId="5F40695E" w14:textId="7FE1C442" w:rsidR="001123B7" w:rsidRPr="00AC3CD2" w:rsidRDefault="00450DC2" w:rsidP="0093396F">
      <w:pPr>
        <w:jc w:val="center"/>
        <w:rPr>
          <w:rFonts w:ascii="Arial" w:hAnsi="Arial" w:cs="Arial"/>
          <w:lang w:val="en-US"/>
        </w:rPr>
      </w:pPr>
      <w:r>
        <w:rPr>
          <w:rFonts w:ascii="Arial" w:hAnsi="Arial" w:cs="Arial"/>
          <w:noProof/>
          <w:lang w:val="en-US"/>
        </w:rPr>
        <w:drawing>
          <wp:inline distT="0" distB="0" distL="0" distR="0" wp14:anchorId="571394F3" wp14:editId="2E4517A2">
            <wp:extent cx="6184073" cy="1878596"/>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34344" cy="1893867"/>
                    </a:xfrm>
                    <a:prstGeom prst="rect">
                      <a:avLst/>
                    </a:prstGeom>
                    <a:noFill/>
                  </pic:spPr>
                </pic:pic>
              </a:graphicData>
            </a:graphic>
          </wp:inline>
        </w:drawing>
      </w:r>
    </w:p>
    <w:p w14:paraId="7FCD072E" w14:textId="779963EA" w:rsidR="009D6C88" w:rsidRPr="00AC3CD2" w:rsidRDefault="009D6C88" w:rsidP="00486FBF">
      <w:pPr>
        <w:rPr>
          <w:rFonts w:ascii="Arial" w:hAnsi="Arial" w:cs="Arial"/>
          <w:lang w:val="en-US"/>
        </w:rPr>
      </w:pPr>
    </w:p>
    <w:p w14:paraId="37E3F971" w14:textId="328777ED" w:rsidR="00450DC2" w:rsidRPr="001123B7" w:rsidRDefault="00450DC2" w:rsidP="00450DC2">
      <w:pPr>
        <w:jc w:val="center"/>
        <w:rPr>
          <w:rFonts w:ascii="Arial" w:hAnsi="Arial" w:cs="Arial"/>
          <w:b/>
          <w:bCs/>
          <w:lang w:val="en-US"/>
        </w:rPr>
      </w:pPr>
      <w:r w:rsidRPr="001123B7">
        <w:rPr>
          <w:rFonts w:ascii="Arial" w:hAnsi="Arial" w:cs="Arial"/>
          <w:b/>
          <w:bCs/>
          <w:lang w:val="en-US"/>
        </w:rPr>
        <w:t xml:space="preserve">Figure </w:t>
      </w:r>
      <w:r>
        <w:rPr>
          <w:rFonts w:ascii="Arial" w:hAnsi="Arial" w:cs="Arial"/>
          <w:b/>
          <w:bCs/>
          <w:lang w:val="en-US"/>
        </w:rPr>
        <w:t>2</w:t>
      </w:r>
      <w:r w:rsidRPr="001123B7">
        <w:rPr>
          <w:rFonts w:ascii="Arial" w:hAnsi="Arial" w:cs="Arial"/>
          <w:b/>
          <w:bCs/>
          <w:lang w:val="en-US"/>
        </w:rPr>
        <w:t xml:space="preserve">: RLF </w:t>
      </w:r>
      <w:r>
        <w:rPr>
          <w:rFonts w:ascii="Arial" w:hAnsi="Arial" w:cs="Arial"/>
          <w:b/>
          <w:bCs/>
          <w:lang w:val="en-US"/>
        </w:rPr>
        <w:t>enhancement</w:t>
      </w:r>
      <w:r w:rsidRPr="001123B7">
        <w:rPr>
          <w:rFonts w:ascii="Arial" w:hAnsi="Arial" w:cs="Arial"/>
          <w:b/>
          <w:bCs/>
          <w:lang w:val="en-US"/>
        </w:rPr>
        <w:t xml:space="preserve"> in Rel-1</w:t>
      </w:r>
      <w:r>
        <w:rPr>
          <w:rFonts w:ascii="Arial" w:hAnsi="Arial" w:cs="Arial"/>
          <w:b/>
          <w:bCs/>
          <w:lang w:val="en-US"/>
        </w:rPr>
        <w:t>7</w:t>
      </w:r>
    </w:p>
    <w:p w14:paraId="22AB16A5" w14:textId="77777777" w:rsidR="00450DC2" w:rsidRDefault="00450DC2" w:rsidP="00486FBF">
      <w:pPr>
        <w:rPr>
          <w:rFonts w:ascii="Arial" w:hAnsi="Arial" w:cs="Arial"/>
          <w:lang w:val="en-US"/>
        </w:rPr>
      </w:pPr>
    </w:p>
    <w:p w14:paraId="529AEE6F" w14:textId="41EFC31F" w:rsidR="009D6C88" w:rsidRDefault="009D6C88" w:rsidP="00486FBF">
      <w:pPr>
        <w:rPr>
          <w:rFonts w:ascii="Arial" w:hAnsi="Arial" w:cs="Arial"/>
          <w:lang w:val="en-US"/>
        </w:rPr>
      </w:pPr>
      <w:r w:rsidRPr="00AC3CD2">
        <w:rPr>
          <w:rFonts w:ascii="Arial" w:hAnsi="Arial" w:cs="Arial"/>
          <w:lang w:val="en-US"/>
        </w:rPr>
        <w:t>Other enhancements</w:t>
      </w:r>
      <w:r w:rsidR="00EC4DB8" w:rsidRPr="00AC3CD2">
        <w:rPr>
          <w:rFonts w:ascii="Arial" w:hAnsi="Arial" w:cs="Arial"/>
          <w:lang w:val="en-US"/>
        </w:rPr>
        <w:t xml:space="preserve"> were discussed</w:t>
      </w:r>
      <w:r w:rsidRPr="00AC3CD2">
        <w:rPr>
          <w:rFonts w:ascii="Arial" w:hAnsi="Arial" w:cs="Arial"/>
          <w:lang w:val="en-US"/>
        </w:rPr>
        <w:t>, such as reducing the RLF timer</w:t>
      </w:r>
      <w:r w:rsidR="003242EF" w:rsidRPr="00AC3CD2">
        <w:rPr>
          <w:rFonts w:ascii="Arial" w:hAnsi="Arial" w:cs="Arial"/>
          <w:lang w:val="en-US"/>
        </w:rPr>
        <w:t xml:space="preserve"> T310</w:t>
      </w:r>
      <w:r w:rsidR="00EC4DB8" w:rsidRPr="00AC3CD2">
        <w:rPr>
          <w:rFonts w:ascii="Arial" w:hAnsi="Arial" w:cs="Arial"/>
          <w:lang w:val="en-US"/>
        </w:rPr>
        <w:t xml:space="preserve"> such that re-establishment can be triggered earlier</w:t>
      </w:r>
      <w:r w:rsidRPr="00AC3CD2">
        <w:rPr>
          <w:rFonts w:ascii="Arial" w:hAnsi="Arial" w:cs="Arial"/>
          <w:lang w:val="en-US"/>
        </w:rPr>
        <w:t xml:space="preserve">, but not agreed. </w:t>
      </w:r>
      <w:r w:rsidR="00C7242C">
        <w:rPr>
          <w:rFonts w:ascii="Arial" w:hAnsi="Arial" w:cs="Arial"/>
          <w:lang w:val="en-US"/>
        </w:rPr>
        <w:t>This was primarily due to concerns that a reduced T310 time could cause RRC connection failure more frequently in cases where there is only a temporary radio condition problem, not allowing enough time to recover (to have N311 in—sync indications) on the current cell.</w:t>
      </w:r>
    </w:p>
    <w:p w14:paraId="281EF645" w14:textId="46DA7E59" w:rsidR="00AB3F45" w:rsidRDefault="00AB3F45" w:rsidP="00486FBF">
      <w:pPr>
        <w:rPr>
          <w:rFonts w:ascii="Arial" w:hAnsi="Arial" w:cs="Arial"/>
          <w:lang w:val="en-US"/>
        </w:rPr>
      </w:pPr>
    </w:p>
    <w:p w14:paraId="473E9F32" w14:textId="72146E90" w:rsidR="00AB3F45" w:rsidRPr="00AC3CD2" w:rsidRDefault="00AB3F45" w:rsidP="00AB3F45">
      <w:pPr>
        <w:pStyle w:val="Heading2"/>
      </w:pPr>
      <w:r>
        <w:t>2.2</w:t>
      </w:r>
      <w:r>
        <w:tab/>
        <w:t xml:space="preserve"> Discussion</w:t>
      </w:r>
    </w:p>
    <w:p w14:paraId="080245CB" w14:textId="77777777" w:rsidR="00FF76C8" w:rsidRDefault="00FF76C8" w:rsidP="00AB3F45">
      <w:pPr>
        <w:rPr>
          <w:rFonts w:ascii="Arial" w:hAnsi="Arial" w:cs="Arial"/>
        </w:rPr>
      </w:pPr>
    </w:p>
    <w:p w14:paraId="4997FAB0" w14:textId="466AE191" w:rsidR="005924EE" w:rsidRDefault="002F42FF" w:rsidP="00AB3F45">
      <w:pPr>
        <w:rPr>
          <w:rFonts w:ascii="Arial" w:eastAsia="Malgun Gothic" w:hAnsi="Arial" w:cs="Arial"/>
          <w:lang w:eastAsia="en-GB"/>
        </w:rPr>
      </w:pPr>
      <w:r>
        <w:rPr>
          <w:rFonts w:ascii="Arial" w:hAnsi="Arial" w:cs="Arial"/>
        </w:rPr>
        <w:t>It was agreed in RAN2#</w:t>
      </w:r>
      <w:r w:rsidR="005924EE">
        <w:rPr>
          <w:rFonts w:ascii="Arial" w:hAnsi="Arial" w:cs="Arial"/>
        </w:rPr>
        <w:t>120 that a</w:t>
      </w:r>
      <w:r w:rsidR="005924EE" w:rsidRPr="00A270E2">
        <w:rPr>
          <w:rFonts w:ascii="Arial" w:eastAsia="Malgun Gothic" w:hAnsi="Arial" w:cs="Arial"/>
          <w:lang w:eastAsia="en-GB"/>
        </w:rPr>
        <w:t>t least for NB-IoT NTN, for quasi-earth fixed cells, UE shall start intra/inter frequency measurement in connected mode before the t-Service if present</w:t>
      </w:r>
      <w:r w:rsidR="005924EE">
        <w:rPr>
          <w:rFonts w:ascii="Arial" w:eastAsia="Malgun Gothic" w:hAnsi="Arial" w:cs="Arial"/>
          <w:lang w:eastAsia="en-GB"/>
        </w:rPr>
        <w:t>.</w:t>
      </w:r>
    </w:p>
    <w:p w14:paraId="6EFEDA1E" w14:textId="77777777" w:rsidR="002E0048" w:rsidRDefault="002E0048" w:rsidP="00AB3F45">
      <w:pPr>
        <w:rPr>
          <w:rFonts w:ascii="Arial" w:hAnsi="Arial" w:cs="Arial"/>
        </w:rPr>
      </w:pPr>
    </w:p>
    <w:p w14:paraId="486E0952" w14:textId="71E4BBA0" w:rsidR="00AB3F45" w:rsidRPr="00AC3CD2" w:rsidRDefault="002E0048" w:rsidP="00AB3F45">
      <w:pPr>
        <w:rPr>
          <w:rFonts w:ascii="Arial" w:hAnsi="Arial" w:cs="Arial"/>
        </w:rPr>
      </w:pPr>
      <w:r>
        <w:rPr>
          <w:rFonts w:ascii="Arial" w:hAnsi="Arial" w:cs="Arial"/>
        </w:rPr>
        <w:t>However, there are several deployment scenarios to consider.</w:t>
      </w:r>
      <w:r w:rsidR="00AB3F45" w:rsidRPr="00AC3CD2">
        <w:rPr>
          <w:rFonts w:ascii="Arial" w:hAnsi="Arial" w:cs="Arial"/>
        </w:rPr>
        <w:t xml:space="preserve"> </w:t>
      </w:r>
    </w:p>
    <w:p w14:paraId="032B855B" w14:textId="725C8E89" w:rsidR="00E74724" w:rsidRPr="00674E02" w:rsidRDefault="00E74724" w:rsidP="00E74724">
      <w:pPr>
        <w:pStyle w:val="ListParagraph"/>
        <w:numPr>
          <w:ilvl w:val="0"/>
          <w:numId w:val="27"/>
        </w:numPr>
        <w:rPr>
          <w:rFonts w:ascii="Arial" w:hAnsi="Arial" w:cs="Arial"/>
          <w:sz w:val="20"/>
          <w:szCs w:val="20"/>
        </w:rPr>
      </w:pPr>
      <w:r w:rsidRPr="00674E02">
        <w:rPr>
          <w:rFonts w:ascii="Arial" w:hAnsi="Arial" w:cs="Arial"/>
          <w:sz w:val="20"/>
          <w:szCs w:val="20"/>
        </w:rPr>
        <w:t xml:space="preserve">Scenario A: </w:t>
      </w:r>
      <w:r w:rsidR="00D01493" w:rsidRPr="00674E02">
        <w:rPr>
          <w:rFonts w:ascii="Arial" w:hAnsi="Arial" w:cs="Arial"/>
          <w:sz w:val="20"/>
          <w:szCs w:val="20"/>
        </w:rPr>
        <w:t xml:space="preserve">Soft switch scenario - </w:t>
      </w:r>
      <w:r w:rsidRPr="00674E02">
        <w:rPr>
          <w:rFonts w:ascii="Arial" w:hAnsi="Arial" w:cs="Arial"/>
          <w:sz w:val="20"/>
          <w:szCs w:val="20"/>
        </w:rPr>
        <w:t xml:space="preserve">Cell 1 coverage overlaps with Cell 2 </w:t>
      </w:r>
      <w:proofErr w:type="gramStart"/>
      <w:r w:rsidRPr="00674E02">
        <w:rPr>
          <w:rFonts w:ascii="Arial" w:hAnsi="Arial" w:cs="Arial"/>
          <w:sz w:val="20"/>
          <w:szCs w:val="20"/>
        </w:rPr>
        <w:t>coverage</w:t>
      </w:r>
      <w:proofErr w:type="gramEnd"/>
    </w:p>
    <w:p w14:paraId="37A7B2C6" w14:textId="0C62AE83" w:rsidR="00E74724" w:rsidRPr="00674E02" w:rsidRDefault="00E74724" w:rsidP="00E74724">
      <w:pPr>
        <w:pStyle w:val="ListParagraph"/>
        <w:numPr>
          <w:ilvl w:val="0"/>
          <w:numId w:val="27"/>
        </w:numPr>
        <w:rPr>
          <w:rFonts w:ascii="Arial" w:hAnsi="Arial" w:cs="Arial"/>
          <w:sz w:val="20"/>
          <w:szCs w:val="20"/>
        </w:rPr>
      </w:pPr>
      <w:r w:rsidRPr="00674E02">
        <w:rPr>
          <w:rFonts w:ascii="Arial" w:hAnsi="Arial" w:cs="Arial"/>
          <w:sz w:val="20"/>
          <w:szCs w:val="20"/>
        </w:rPr>
        <w:t xml:space="preserve">Scenario B: </w:t>
      </w:r>
      <w:r w:rsidR="00D01493" w:rsidRPr="00674E02">
        <w:rPr>
          <w:rFonts w:ascii="Arial" w:hAnsi="Arial" w:cs="Arial"/>
          <w:sz w:val="20"/>
          <w:szCs w:val="20"/>
        </w:rPr>
        <w:t xml:space="preserve">Hard switch scenario - </w:t>
      </w:r>
      <w:r w:rsidRPr="00674E02">
        <w:rPr>
          <w:rFonts w:ascii="Arial" w:hAnsi="Arial" w:cs="Arial"/>
          <w:sz w:val="20"/>
          <w:szCs w:val="20"/>
        </w:rPr>
        <w:t>Discrete switch time:  Cell 1 switches to cell 2 at given time (</w:t>
      </w:r>
      <w:proofErr w:type="gramStart"/>
      <w:r w:rsidRPr="00674E02">
        <w:rPr>
          <w:rFonts w:ascii="Arial" w:hAnsi="Arial" w:cs="Arial"/>
          <w:sz w:val="20"/>
          <w:szCs w:val="20"/>
        </w:rPr>
        <w:t>e.g.</w:t>
      </w:r>
      <w:proofErr w:type="gramEnd"/>
      <w:r w:rsidRPr="00674E02">
        <w:rPr>
          <w:rFonts w:ascii="Arial" w:hAnsi="Arial" w:cs="Arial"/>
          <w:sz w:val="20"/>
          <w:szCs w:val="20"/>
        </w:rPr>
        <w:t xml:space="preserve"> earth-fixed scenario)</w:t>
      </w:r>
    </w:p>
    <w:p w14:paraId="4068658E" w14:textId="037F55F7" w:rsidR="00AB3F45" w:rsidRPr="00674E02" w:rsidRDefault="00E74724" w:rsidP="00E74724">
      <w:pPr>
        <w:pStyle w:val="ListParagraph"/>
        <w:numPr>
          <w:ilvl w:val="0"/>
          <w:numId w:val="27"/>
        </w:numPr>
        <w:rPr>
          <w:rFonts w:ascii="Arial" w:hAnsi="Arial" w:cs="Arial"/>
          <w:sz w:val="20"/>
          <w:szCs w:val="20"/>
        </w:rPr>
      </w:pPr>
      <w:r w:rsidRPr="00674E02">
        <w:rPr>
          <w:rFonts w:ascii="Arial" w:hAnsi="Arial" w:cs="Arial"/>
          <w:sz w:val="20"/>
          <w:szCs w:val="20"/>
        </w:rPr>
        <w:t xml:space="preserve">Scenario C: </w:t>
      </w:r>
      <w:r w:rsidR="00D01493" w:rsidRPr="00674E02">
        <w:rPr>
          <w:rFonts w:ascii="Arial" w:hAnsi="Arial" w:cs="Arial"/>
          <w:sz w:val="20"/>
          <w:szCs w:val="20"/>
        </w:rPr>
        <w:t xml:space="preserve">Discontinuous coverage scenario - </w:t>
      </w:r>
      <w:r w:rsidRPr="00674E02">
        <w:rPr>
          <w:rFonts w:ascii="Arial" w:hAnsi="Arial" w:cs="Arial"/>
          <w:sz w:val="20"/>
          <w:szCs w:val="20"/>
        </w:rPr>
        <w:t xml:space="preserve">Cell 1 coverage stops before Cell 2 coverage </w:t>
      </w:r>
      <w:proofErr w:type="gramStart"/>
      <w:r w:rsidRPr="00674E02">
        <w:rPr>
          <w:rFonts w:ascii="Arial" w:hAnsi="Arial" w:cs="Arial"/>
          <w:sz w:val="20"/>
          <w:szCs w:val="20"/>
        </w:rPr>
        <w:t>starts</w:t>
      </w:r>
      <w:proofErr w:type="gramEnd"/>
      <w:r w:rsidRPr="00674E02">
        <w:rPr>
          <w:rFonts w:ascii="Arial" w:hAnsi="Arial" w:cs="Arial"/>
          <w:sz w:val="20"/>
          <w:szCs w:val="20"/>
        </w:rPr>
        <w:t xml:space="preserve"> </w:t>
      </w:r>
    </w:p>
    <w:p w14:paraId="2093F462" w14:textId="74BFB02E" w:rsidR="00E74724" w:rsidRDefault="00E74724" w:rsidP="00E74724">
      <w:pPr>
        <w:rPr>
          <w:rFonts w:ascii="Arial" w:hAnsi="Arial" w:cs="Arial"/>
          <w:b/>
          <w:bCs/>
          <w:highlight w:val="yellow"/>
        </w:rPr>
      </w:pPr>
    </w:p>
    <w:p w14:paraId="59EB1536" w14:textId="77777777" w:rsidR="005924EE" w:rsidRDefault="00E74724" w:rsidP="00E74724">
      <w:pPr>
        <w:rPr>
          <w:rFonts w:ascii="Arial" w:hAnsi="Arial" w:cs="Arial"/>
        </w:rPr>
      </w:pPr>
      <w:r w:rsidRPr="002C48AF">
        <w:rPr>
          <w:rFonts w:ascii="Arial" w:hAnsi="Arial" w:cs="Arial"/>
        </w:rPr>
        <w:t xml:space="preserve">If the time-based trigger only </w:t>
      </w:r>
      <w:r w:rsidR="002C48AF" w:rsidRPr="002C48AF">
        <w:rPr>
          <w:rFonts w:ascii="Arial" w:hAnsi="Arial" w:cs="Arial"/>
        </w:rPr>
        <w:t xml:space="preserve">takes </w:t>
      </w:r>
      <w:r w:rsidRPr="002C48AF">
        <w:rPr>
          <w:rFonts w:ascii="Arial" w:hAnsi="Arial" w:cs="Arial"/>
        </w:rPr>
        <w:t xml:space="preserve">the </w:t>
      </w:r>
      <w:r w:rsidR="002C48AF" w:rsidRPr="002C48AF">
        <w:rPr>
          <w:rFonts w:ascii="Arial" w:hAnsi="Arial" w:cs="Arial"/>
        </w:rPr>
        <w:t>current cell</w:t>
      </w:r>
      <w:r w:rsidR="008F486C">
        <w:rPr>
          <w:rFonts w:ascii="Arial" w:hAnsi="Arial" w:cs="Arial"/>
        </w:rPr>
        <w:t xml:space="preserve"> </w:t>
      </w:r>
      <w:r w:rsidR="008F486C" w:rsidRPr="002C48AF">
        <w:rPr>
          <w:rFonts w:ascii="Arial" w:hAnsi="Arial" w:cs="Arial"/>
        </w:rPr>
        <w:t>into account</w:t>
      </w:r>
      <w:r w:rsidR="002C48AF" w:rsidRPr="002C48AF">
        <w:rPr>
          <w:rFonts w:ascii="Arial" w:hAnsi="Arial" w:cs="Arial"/>
        </w:rPr>
        <w:t xml:space="preserve">, then this would only be effective for scenario A </w:t>
      </w:r>
      <w:r w:rsidR="00D01493">
        <w:rPr>
          <w:rFonts w:ascii="Arial" w:hAnsi="Arial" w:cs="Arial"/>
        </w:rPr>
        <w:t>(</w:t>
      </w:r>
      <w:proofErr w:type="gramStart"/>
      <w:r w:rsidR="00D01493">
        <w:rPr>
          <w:rFonts w:ascii="Arial" w:hAnsi="Arial" w:cs="Arial"/>
        </w:rPr>
        <w:t>soft-switch</w:t>
      </w:r>
      <w:proofErr w:type="gramEnd"/>
      <w:r w:rsidR="00D01493">
        <w:rPr>
          <w:rFonts w:ascii="Arial" w:hAnsi="Arial" w:cs="Arial"/>
        </w:rPr>
        <w:t xml:space="preserve">) </w:t>
      </w:r>
      <w:r w:rsidR="002C48AF" w:rsidRPr="002C48AF">
        <w:rPr>
          <w:rFonts w:ascii="Arial" w:hAnsi="Arial" w:cs="Arial"/>
        </w:rPr>
        <w:t xml:space="preserve">above. </w:t>
      </w:r>
    </w:p>
    <w:p w14:paraId="3CB52D8E" w14:textId="77777777" w:rsidR="005924EE" w:rsidRDefault="005924EE" w:rsidP="00E74724">
      <w:pPr>
        <w:rPr>
          <w:rFonts w:ascii="Arial" w:hAnsi="Arial" w:cs="Arial"/>
        </w:rPr>
      </w:pPr>
    </w:p>
    <w:p w14:paraId="2EF098BB" w14:textId="07576C52" w:rsidR="005924EE" w:rsidRDefault="002C48AF" w:rsidP="00E74724">
      <w:pPr>
        <w:rPr>
          <w:rFonts w:ascii="Arial" w:hAnsi="Arial" w:cs="Arial"/>
        </w:rPr>
      </w:pPr>
      <w:r>
        <w:rPr>
          <w:rFonts w:ascii="Arial" w:hAnsi="Arial" w:cs="Arial"/>
        </w:rPr>
        <w:t xml:space="preserve">For scenarios B </w:t>
      </w:r>
      <w:r w:rsidR="00D01493">
        <w:rPr>
          <w:rFonts w:ascii="Arial" w:hAnsi="Arial" w:cs="Arial"/>
        </w:rPr>
        <w:t xml:space="preserve">(hard-switch) </w:t>
      </w:r>
      <w:r>
        <w:rPr>
          <w:rFonts w:ascii="Arial" w:hAnsi="Arial" w:cs="Arial"/>
        </w:rPr>
        <w:t>and C</w:t>
      </w:r>
      <w:r w:rsidR="00D01493">
        <w:rPr>
          <w:rFonts w:ascii="Arial" w:hAnsi="Arial" w:cs="Arial"/>
        </w:rPr>
        <w:t xml:space="preserve"> (discontinuous coverage)</w:t>
      </w:r>
      <w:r>
        <w:rPr>
          <w:rFonts w:ascii="Arial" w:hAnsi="Arial" w:cs="Arial"/>
        </w:rPr>
        <w:t xml:space="preserve">, there is anyway no target cell coverage, so </w:t>
      </w:r>
      <w:r w:rsidR="005924EE">
        <w:rPr>
          <w:rFonts w:ascii="Arial" w:hAnsi="Arial" w:cs="Arial"/>
        </w:rPr>
        <w:t xml:space="preserve">triggering </w:t>
      </w:r>
      <w:r>
        <w:rPr>
          <w:rFonts w:ascii="Arial" w:hAnsi="Arial" w:cs="Arial"/>
        </w:rPr>
        <w:t xml:space="preserve">measurements would not </w:t>
      </w:r>
      <w:r w:rsidR="005924EE">
        <w:rPr>
          <w:rFonts w:ascii="Arial" w:hAnsi="Arial" w:cs="Arial"/>
        </w:rPr>
        <w:t>detect the incoming satellite coverage (it’s not there!</w:t>
      </w:r>
      <w:proofErr w:type="gramStart"/>
      <w:r w:rsidR="005924EE">
        <w:rPr>
          <w:rFonts w:ascii="Arial" w:hAnsi="Arial" w:cs="Arial"/>
        </w:rPr>
        <w:t xml:space="preserve">) </w:t>
      </w:r>
      <w:r>
        <w:rPr>
          <w:rFonts w:ascii="Arial" w:hAnsi="Arial" w:cs="Arial"/>
        </w:rPr>
        <w:t>,</w:t>
      </w:r>
      <w:proofErr w:type="gramEnd"/>
      <w:r>
        <w:rPr>
          <w:rFonts w:ascii="Arial" w:hAnsi="Arial" w:cs="Arial"/>
        </w:rPr>
        <w:t xml:space="preserve"> and would waste UE power. </w:t>
      </w:r>
    </w:p>
    <w:p w14:paraId="3B67C8D2" w14:textId="77777777" w:rsidR="005924EE" w:rsidRDefault="005924EE" w:rsidP="00E74724">
      <w:pPr>
        <w:rPr>
          <w:rFonts w:ascii="Arial" w:hAnsi="Arial" w:cs="Arial"/>
        </w:rPr>
      </w:pPr>
    </w:p>
    <w:p w14:paraId="78D6CB9E" w14:textId="6DC5FE3F" w:rsidR="00E74724" w:rsidRDefault="008F486C" w:rsidP="00E74724">
      <w:pPr>
        <w:rPr>
          <w:rFonts w:ascii="Arial" w:hAnsi="Arial" w:cs="Arial"/>
        </w:rPr>
      </w:pPr>
      <w:r>
        <w:rPr>
          <w:rFonts w:ascii="Arial" w:hAnsi="Arial" w:cs="Arial"/>
        </w:rPr>
        <w:t xml:space="preserve">It makes sense, therefore, to limit </w:t>
      </w:r>
      <w:r w:rsidR="005924EE">
        <w:rPr>
          <w:rFonts w:ascii="Arial" w:hAnsi="Arial" w:cs="Arial"/>
        </w:rPr>
        <w:t xml:space="preserve">the triggering of </w:t>
      </w:r>
      <w:r>
        <w:rPr>
          <w:rFonts w:ascii="Arial" w:hAnsi="Arial" w:cs="Arial"/>
        </w:rPr>
        <w:t xml:space="preserve">measurements before RLF only to scenario A </w:t>
      </w:r>
      <w:r w:rsidR="00582DD2">
        <w:rPr>
          <w:rFonts w:ascii="Arial" w:hAnsi="Arial" w:cs="Arial"/>
        </w:rPr>
        <w:t>in NTN</w:t>
      </w:r>
      <w:r>
        <w:rPr>
          <w:rFonts w:ascii="Arial" w:hAnsi="Arial" w:cs="Arial"/>
        </w:rPr>
        <w:t xml:space="preserve">. </w:t>
      </w:r>
    </w:p>
    <w:p w14:paraId="7D476369" w14:textId="3517AA89" w:rsidR="00F802F6" w:rsidRDefault="00F802F6" w:rsidP="00E74724">
      <w:pPr>
        <w:rPr>
          <w:rFonts w:ascii="Arial" w:hAnsi="Arial" w:cs="Arial"/>
        </w:rPr>
      </w:pPr>
    </w:p>
    <w:p w14:paraId="430B1785" w14:textId="05686EAD" w:rsidR="005924EE" w:rsidRDefault="00F802F6" w:rsidP="00AA311D">
      <w:pPr>
        <w:jc w:val="both"/>
        <w:rPr>
          <w:rFonts w:ascii="Arial" w:hAnsi="Arial" w:cs="Arial"/>
        </w:rPr>
      </w:pPr>
      <w:r>
        <w:rPr>
          <w:rFonts w:ascii="Arial" w:hAnsi="Arial" w:cs="Arial"/>
        </w:rPr>
        <w:t xml:space="preserve">A more complete solution, which covers the above 3 scenarios (or, at a high level – continuous and discontinuous coverage) </w:t>
      </w:r>
      <w:proofErr w:type="gramStart"/>
      <w:r>
        <w:rPr>
          <w:rFonts w:ascii="Arial" w:hAnsi="Arial" w:cs="Arial"/>
        </w:rPr>
        <w:t>takes into account</w:t>
      </w:r>
      <w:proofErr w:type="gramEnd"/>
      <w:r>
        <w:rPr>
          <w:rFonts w:ascii="Arial" w:hAnsi="Arial" w:cs="Arial"/>
        </w:rPr>
        <w:t xml:space="preserve"> both the current and neighbouring cell configurations. </w:t>
      </w:r>
    </w:p>
    <w:p w14:paraId="38EEAEA7" w14:textId="77777777" w:rsidR="005924EE" w:rsidRDefault="005924EE" w:rsidP="00AA311D">
      <w:pPr>
        <w:jc w:val="both"/>
        <w:rPr>
          <w:rFonts w:ascii="Arial" w:hAnsi="Arial" w:cs="Arial"/>
        </w:rPr>
      </w:pPr>
    </w:p>
    <w:p w14:paraId="67F60A35" w14:textId="1BFF17E2" w:rsidR="00F802F6" w:rsidRDefault="00F802F6" w:rsidP="00AA311D">
      <w:pPr>
        <w:jc w:val="both"/>
        <w:rPr>
          <w:rFonts w:ascii="Arial" w:hAnsi="Arial" w:cs="Arial"/>
        </w:rPr>
      </w:pPr>
      <w:r>
        <w:rPr>
          <w:rFonts w:ascii="Arial" w:hAnsi="Arial" w:cs="Arial"/>
        </w:rPr>
        <w:t>The UE should start performing measurements before t-service of the current cell expires, but this only makes sense if the neighbouring cell is available to measure. If t-</w:t>
      </w:r>
      <w:proofErr w:type="spellStart"/>
      <w:r>
        <w:rPr>
          <w:rFonts w:ascii="Arial" w:hAnsi="Arial" w:cs="Arial"/>
        </w:rPr>
        <w:t>service</w:t>
      </w:r>
      <w:r w:rsidR="00FE1385">
        <w:rPr>
          <w:rFonts w:ascii="Arial" w:hAnsi="Arial" w:cs="Arial"/>
        </w:rPr>
        <w:t>S</w:t>
      </w:r>
      <w:r>
        <w:rPr>
          <w:rFonts w:ascii="Arial" w:hAnsi="Arial" w:cs="Arial"/>
        </w:rPr>
        <w:t>tart</w:t>
      </w:r>
      <w:proofErr w:type="spellEnd"/>
      <w:r>
        <w:rPr>
          <w:rFonts w:ascii="Arial" w:hAnsi="Arial" w:cs="Arial"/>
        </w:rPr>
        <w:t xml:space="preserve"> is provided for that neighbour, then the UE should not be required to measure before this time elapses. Of course, if no t-</w:t>
      </w:r>
      <w:proofErr w:type="spellStart"/>
      <w:r>
        <w:rPr>
          <w:rFonts w:ascii="Arial" w:hAnsi="Arial" w:cs="Arial"/>
        </w:rPr>
        <w:t>serviceStart</w:t>
      </w:r>
      <w:proofErr w:type="spellEnd"/>
      <w:r>
        <w:rPr>
          <w:rFonts w:ascii="Arial" w:hAnsi="Arial" w:cs="Arial"/>
        </w:rPr>
        <w:t xml:space="preserve"> is provided for the neighbour then this implies continuous coverage and therefore the UE should perform the measurements. </w:t>
      </w:r>
    </w:p>
    <w:p w14:paraId="08E59AC5" w14:textId="77777777" w:rsidR="00AB3F45" w:rsidRPr="00691D6D" w:rsidRDefault="00AB3F45" w:rsidP="00AB3F45">
      <w:pPr>
        <w:rPr>
          <w:rFonts w:ascii="Arial" w:hAnsi="Arial" w:cs="Arial"/>
          <w:b/>
          <w:bCs/>
        </w:rPr>
      </w:pPr>
    </w:p>
    <w:p w14:paraId="56D00E4B" w14:textId="742CD94E" w:rsidR="005924EE" w:rsidRDefault="00AB3F45" w:rsidP="00AB3F45">
      <w:pPr>
        <w:rPr>
          <w:rFonts w:ascii="Arial" w:hAnsi="Arial" w:cs="Arial"/>
          <w:b/>
          <w:bCs/>
        </w:rPr>
      </w:pPr>
      <w:r w:rsidRPr="00691D6D">
        <w:rPr>
          <w:rFonts w:ascii="Arial" w:hAnsi="Arial" w:cs="Arial"/>
          <w:b/>
          <w:bCs/>
        </w:rPr>
        <w:t>Proposal 1</w:t>
      </w:r>
      <w:r w:rsidR="005924EE">
        <w:rPr>
          <w:rFonts w:ascii="Arial" w:hAnsi="Arial" w:cs="Arial"/>
          <w:b/>
          <w:bCs/>
        </w:rPr>
        <w:t>a</w:t>
      </w:r>
      <w:r w:rsidRPr="00691D6D">
        <w:rPr>
          <w:rFonts w:ascii="Arial" w:hAnsi="Arial" w:cs="Arial"/>
          <w:b/>
          <w:bCs/>
        </w:rPr>
        <w:t>:</w:t>
      </w:r>
      <w:r>
        <w:rPr>
          <w:rFonts w:ascii="Arial" w:hAnsi="Arial" w:cs="Arial"/>
          <w:b/>
          <w:bCs/>
        </w:rPr>
        <w:t xml:space="preserve"> </w:t>
      </w:r>
      <w:r w:rsidR="005924EE">
        <w:rPr>
          <w:rFonts w:ascii="Arial" w:hAnsi="Arial" w:cs="Arial"/>
          <w:b/>
          <w:bCs/>
        </w:rPr>
        <w:t>The agreement in RAN2#120 (</w:t>
      </w:r>
      <w:r w:rsidR="005924EE" w:rsidRPr="0093396F">
        <w:rPr>
          <w:rFonts w:ascii="Arial" w:eastAsia="Malgun Gothic" w:hAnsi="Arial" w:cs="Arial"/>
          <w:b/>
          <w:bCs/>
          <w:lang w:eastAsia="en-GB"/>
        </w:rPr>
        <w:t>UE shall start intra/inter frequency measurement in connected mode before the t-Service if present</w:t>
      </w:r>
      <w:r w:rsidR="005924EE">
        <w:rPr>
          <w:rFonts w:ascii="Arial" w:hAnsi="Arial" w:cs="Arial"/>
          <w:b/>
          <w:bCs/>
        </w:rPr>
        <w:t>) only applies to the case of overlapping coverage.</w:t>
      </w:r>
    </w:p>
    <w:p w14:paraId="390CF61A" w14:textId="26C2408C" w:rsidR="005924EE" w:rsidRDefault="005924EE" w:rsidP="00AB3F45">
      <w:pPr>
        <w:rPr>
          <w:rFonts w:ascii="Arial" w:hAnsi="Arial" w:cs="Arial"/>
          <w:b/>
          <w:bCs/>
        </w:rPr>
      </w:pPr>
    </w:p>
    <w:p w14:paraId="053312D4" w14:textId="075ED95E" w:rsidR="005924EE" w:rsidRDefault="005924EE" w:rsidP="00AB3F45">
      <w:pPr>
        <w:rPr>
          <w:rFonts w:ascii="Arial" w:hAnsi="Arial" w:cs="Arial"/>
        </w:rPr>
      </w:pPr>
      <w:r w:rsidRPr="0093396F">
        <w:rPr>
          <w:rFonts w:ascii="Arial" w:hAnsi="Arial" w:cs="Arial"/>
        </w:rPr>
        <w:t>In terms of specification impact, proposal 1 can be reworded</w:t>
      </w:r>
      <w:r>
        <w:rPr>
          <w:rFonts w:ascii="Arial" w:hAnsi="Arial" w:cs="Arial"/>
        </w:rPr>
        <w:t xml:space="preserve"> </w:t>
      </w:r>
      <w:r w:rsidRPr="0093396F">
        <w:rPr>
          <w:rFonts w:ascii="Arial" w:hAnsi="Arial" w:cs="Arial"/>
        </w:rPr>
        <w:t>as follows</w:t>
      </w:r>
      <w:r>
        <w:rPr>
          <w:rFonts w:ascii="Arial" w:hAnsi="Arial" w:cs="Arial"/>
        </w:rPr>
        <w:t xml:space="preserve"> (the UE can limit to the overlapping coverage scenario based on what the network configures)</w:t>
      </w:r>
      <w:r w:rsidRPr="0093396F">
        <w:rPr>
          <w:rFonts w:ascii="Arial" w:hAnsi="Arial" w:cs="Arial"/>
        </w:rPr>
        <w:t>:</w:t>
      </w:r>
    </w:p>
    <w:p w14:paraId="5CC59721" w14:textId="77777777" w:rsidR="00674E02" w:rsidRPr="0093396F" w:rsidRDefault="00674E02" w:rsidP="00AB3F45">
      <w:pPr>
        <w:rPr>
          <w:rFonts w:ascii="Arial" w:hAnsi="Arial" w:cs="Arial"/>
        </w:rPr>
      </w:pPr>
    </w:p>
    <w:p w14:paraId="6B6F366E" w14:textId="1C93BF2C" w:rsidR="00AB3F45" w:rsidRPr="00AC3CD2" w:rsidRDefault="005924EE" w:rsidP="00AB3F45">
      <w:pPr>
        <w:rPr>
          <w:rFonts w:ascii="Arial" w:hAnsi="Arial" w:cs="Arial"/>
          <w:b/>
          <w:bCs/>
        </w:rPr>
      </w:pPr>
      <w:r>
        <w:rPr>
          <w:rFonts w:ascii="Arial" w:hAnsi="Arial" w:cs="Arial"/>
          <w:b/>
          <w:bCs/>
        </w:rPr>
        <w:t xml:space="preserve">Proposal 1b: </w:t>
      </w:r>
      <w:r w:rsidR="00582DD2">
        <w:rPr>
          <w:rFonts w:ascii="Arial" w:hAnsi="Arial" w:cs="Arial"/>
          <w:b/>
          <w:bCs/>
        </w:rPr>
        <w:t xml:space="preserve">Measurements of a neighbouring NTN cell are triggered before </w:t>
      </w:r>
      <w:r w:rsidR="003D0123">
        <w:rPr>
          <w:rFonts w:ascii="Arial" w:hAnsi="Arial" w:cs="Arial"/>
          <w:b/>
          <w:bCs/>
        </w:rPr>
        <w:t xml:space="preserve">t-service </w:t>
      </w:r>
      <w:r w:rsidR="00582DD2">
        <w:rPr>
          <w:rFonts w:ascii="Arial" w:hAnsi="Arial" w:cs="Arial"/>
          <w:b/>
          <w:bCs/>
        </w:rPr>
        <w:t xml:space="preserve">only if the </w:t>
      </w:r>
      <w:r w:rsidR="007C29C4">
        <w:rPr>
          <w:rFonts w:ascii="Arial" w:hAnsi="Arial" w:cs="Arial"/>
          <w:b/>
          <w:bCs/>
        </w:rPr>
        <w:t xml:space="preserve">incoming </w:t>
      </w:r>
      <w:r w:rsidR="00582DD2">
        <w:rPr>
          <w:rFonts w:ascii="Arial" w:hAnsi="Arial" w:cs="Arial"/>
          <w:b/>
          <w:bCs/>
        </w:rPr>
        <w:t>neighbour cell t</w:t>
      </w:r>
      <w:r w:rsidR="005D01A9">
        <w:rPr>
          <w:rFonts w:ascii="Arial" w:hAnsi="Arial" w:cs="Arial"/>
          <w:b/>
          <w:bCs/>
        </w:rPr>
        <w:t>-</w:t>
      </w:r>
      <w:proofErr w:type="spellStart"/>
      <w:r w:rsidR="00582DD2">
        <w:rPr>
          <w:rFonts w:ascii="Arial" w:hAnsi="Arial" w:cs="Arial"/>
          <w:b/>
          <w:bCs/>
        </w:rPr>
        <w:t>serviceStart</w:t>
      </w:r>
      <w:proofErr w:type="spellEnd"/>
      <w:r w:rsidR="00582DD2">
        <w:rPr>
          <w:rFonts w:ascii="Arial" w:hAnsi="Arial" w:cs="Arial"/>
          <w:b/>
          <w:bCs/>
        </w:rPr>
        <w:t xml:space="preserve"> </w:t>
      </w:r>
      <w:r w:rsidR="003D0123">
        <w:rPr>
          <w:rFonts w:ascii="Arial" w:hAnsi="Arial" w:cs="Arial"/>
          <w:b/>
          <w:bCs/>
        </w:rPr>
        <w:t xml:space="preserve">is </w:t>
      </w:r>
      <w:r w:rsidR="005D01A9">
        <w:rPr>
          <w:rFonts w:ascii="Arial" w:hAnsi="Arial" w:cs="Arial"/>
          <w:b/>
          <w:bCs/>
        </w:rPr>
        <w:t>before t-service</w:t>
      </w:r>
      <w:r w:rsidR="003D0123">
        <w:rPr>
          <w:rFonts w:ascii="Arial" w:hAnsi="Arial" w:cs="Arial"/>
          <w:b/>
          <w:bCs/>
        </w:rPr>
        <w:t>,</w:t>
      </w:r>
      <w:r w:rsidR="00F802F6" w:rsidRPr="00F802F6">
        <w:rPr>
          <w:rFonts w:ascii="Arial" w:hAnsi="Arial" w:cs="Arial"/>
          <w:b/>
          <w:bCs/>
        </w:rPr>
        <w:t xml:space="preserve"> </w:t>
      </w:r>
      <w:r w:rsidR="00F802F6">
        <w:rPr>
          <w:rFonts w:ascii="Arial" w:hAnsi="Arial" w:cs="Arial"/>
          <w:b/>
          <w:bCs/>
        </w:rPr>
        <w:t>or if no t-</w:t>
      </w:r>
      <w:proofErr w:type="spellStart"/>
      <w:r w:rsidR="00F802F6">
        <w:rPr>
          <w:rFonts w:ascii="Arial" w:hAnsi="Arial" w:cs="Arial"/>
          <w:b/>
          <w:bCs/>
        </w:rPr>
        <w:t>serviceStart</w:t>
      </w:r>
      <w:proofErr w:type="spellEnd"/>
      <w:r w:rsidR="00F802F6">
        <w:rPr>
          <w:rFonts w:ascii="Arial" w:hAnsi="Arial" w:cs="Arial"/>
          <w:b/>
          <w:bCs/>
        </w:rPr>
        <w:t xml:space="preserve"> is </w:t>
      </w:r>
      <w:r w:rsidR="00D01493">
        <w:rPr>
          <w:rFonts w:ascii="Arial" w:hAnsi="Arial" w:cs="Arial"/>
          <w:b/>
          <w:bCs/>
        </w:rPr>
        <w:t>provided</w:t>
      </w:r>
      <w:r w:rsidR="00F802F6">
        <w:rPr>
          <w:rFonts w:ascii="Arial" w:hAnsi="Arial" w:cs="Arial"/>
          <w:b/>
          <w:bCs/>
        </w:rPr>
        <w:t xml:space="preserve"> for the neighbour cell</w:t>
      </w:r>
      <w:r w:rsidR="005D01A9">
        <w:rPr>
          <w:rFonts w:ascii="Arial" w:hAnsi="Arial" w:cs="Arial"/>
          <w:b/>
          <w:bCs/>
        </w:rPr>
        <w:t>.</w:t>
      </w:r>
    </w:p>
    <w:p w14:paraId="248810AB" w14:textId="116A7AB0" w:rsidR="00AB3F45" w:rsidRDefault="00AB3F45" w:rsidP="00AB3F45">
      <w:pPr>
        <w:rPr>
          <w:rFonts w:ascii="Arial" w:hAnsi="Arial" w:cs="Arial"/>
        </w:rPr>
      </w:pPr>
    </w:p>
    <w:p w14:paraId="3CF17C7E" w14:textId="2C2E7B85" w:rsidR="005D01A9" w:rsidRDefault="00E446A3" w:rsidP="00AB3F45">
      <w:pPr>
        <w:rPr>
          <w:rFonts w:ascii="Arial" w:hAnsi="Arial" w:cs="Arial"/>
        </w:rPr>
      </w:pPr>
      <w:r>
        <w:rPr>
          <w:rFonts w:ascii="Arial" w:hAnsi="Arial" w:cs="Arial"/>
        </w:rPr>
        <w:t>If the TN carriers are configured with a higher cell reselection priority</w:t>
      </w:r>
      <w:r w:rsidR="005E6168">
        <w:rPr>
          <w:rFonts w:ascii="Arial" w:hAnsi="Arial" w:cs="Arial"/>
        </w:rPr>
        <w:t>,</w:t>
      </w:r>
      <w:r>
        <w:rPr>
          <w:rFonts w:ascii="Arial" w:hAnsi="Arial" w:cs="Arial"/>
        </w:rPr>
        <w:t xml:space="preserve"> then the UE shall search for those carriers periodically (every 1 minute per carrier). If the TN carriers are configured with a lower cell reselection priority</w:t>
      </w:r>
      <w:r w:rsidR="005E6168">
        <w:rPr>
          <w:rFonts w:ascii="Arial" w:hAnsi="Arial" w:cs="Arial"/>
        </w:rPr>
        <w:t>,</w:t>
      </w:r>
      <w:r>
        <w:rPr>
          <w:rFonts w:ascii="Arial" w:hAnsi="Arial" w:cs="Arial"/>
        </w:rPr>
        <w:t xml:space="preserve"> then the UE will not measure those carriers until the serving cell quality degrades (</w:t>
      </w:r>
      <w:proofErr w:type="gramStart"/>
      <w:r>
        <w:rPr>
          <w:rFonts w:ascii="Arial" w:hAnsi="Arial" w:cs="Arial"/>
        </w:rPr>
        <w:t>E.g.</w:t>
      </w:r>
      <w:proofErr w:type="gramEnd"/>
      <w:r>
        <w:rPr>
          <w:rFonts w:ascii="Arial" w:hAnsi="Arial" w:cs="Arial"/>
        </w:rPr>
        <w:t xml:space="preserve"> t-service passes). </w:t>
      </w:r>
      <w:r w:rsidR="005D01A9">
        <w:rPr>
          <w:rFonts w:ascii="Arial" w:hAnsi="Arial" w:cs="Arial"/>
        </w:rPr>
        <w:t xml:space="preserve">If there is TN coverage (e.g. the NTN cell broadcasts TN carrier frequencies) then the UE </w:t>
      </w:r>
      <w:r>
        <w:rPr>
          <w:rFonts w:ascii="Arial" w:hAnsi="Arial" w:cs="Arial"/>
        </w:rPr>
        <w:t>sh</w:t>
      </w:r>
      <w:r w:rsidR="00236EC5">
        <w:rPr>
          <w:rFonts w:ascii="Arial" w:hAnsi="Arial" w:cs="Arial"/>
        </w:rPr>
        <w:t>ould</w:t>
      </w:r>
      <w:r w:rsidR="005D01A9">
        <w:rPr>
          <w:rFonts w:ascii="Arial" w:hAnsi="Arial" w:cs="Arial"/>
        </w:rPr>
        <w:t xml:space="preserve"> start to measure those </w:t>
      </w:r>
      <w:r>
        <w:rPr>
          <w:rFonts w:ascii="Arial" w:hAnsi="Arial" w:cs="Arial"/>
        </w:rPr>
        <w:t xml:space="preserve">(if they are lower priority) or should start to measure those more frequently (if they are higher priority) </w:t>
      </w:r>
      <w:r w:rsidR="005D01A9">
        <w:rPr>
          <w:rFonts w:ascii="Arial" w:hAnsi="Arial" w:cs="Arial"/>
        </w:rPr>
        <w:t xml:space="preserve">ahead of </w:t>
      </w:r>
      <w:r w:rsidR="0089680F">
        <w:rPr>
          <w:rFonts w:ascii="Arial" w:hAnsi="Arial" w:cs="Arial"/>
        </w:rPr>
        <w:t>t-service expiring, even if there is no neighbouring NTN cell available at that time</w:t>
      </w:r>
      <w:r w:rsidR="005E6168">
        <w:rPr>
          <w:rFonts w:ascii="Arial" w:hAnsi="Arial" w:cs="Arial"/>
        </w:rPr>
        <w:t>, in order to ensure it can reselect and camp on the TN if it is available</w:t>
      </w:r>
      <w:r w:rsidR="0089680F">
        <w:rPr>
          <w:rFonts w:ascii="Arial" w:hAnsi="Arial" w:cs="Arial"/>
        </w:rPr>
        <w:t xml:space="preserve">. </w:t>
      </w:r>
    </w:p>
    <w:p w14:paraId="51C458A8" w14:textId="7489FC8B" w:rsidR="00F46D43" w:rsidRDefault="00F46D43" w:rsidP="00AB3F45">
      <w:pPr>
        <w:rPr>
          <w:rFonts w:ascii="Arial" w:hAnsi="Arial" w:cs="Arial"/>
        </w:rPr>
      </w:pPr>
    </w:p>
    <w:p w14:paraId="58E90CD1" w14:textId="104826AE" w:rsidR="00E446A3" w:rsidRDefault="00F46D43" w:rsidP="00AB3F45">
      <w:pPr>
        <w:rPr>
          <w:rFonts w:ascii="Arial" w:hAnsi="Arial" w:cs="Arial"/>
          <w:b/>
          <w:bCs/>
        </w:rPr>
      </w:pPr>
      <w:r w:rsidRPr="00E52AA9">
        <w:rPr>
          <w:rFonts w:ascii="Arial" w:hAnsi="Arial" w:cs="Arial"/>
          <w:b/>
          <w:bCs/>
        </w:rPr>
        <w:t>Proposal 2</w:t>
      </w:r>
      <w:r w:rsidR="00E446A3">
        <w:rPr>
          <w:rFonts w:ascii="Arial" w:hAnsi="Arial" w:cs="Arial"/>
          <w:b/>
          <w:bCs/>
        </w:rPr>
        <w:t>a</w:t>
      </w:r>
      <w:r w:rsidRPr="00E52AA9">
        <w:rPr>
          <w:rFonts w:ascii="Arial" w:hAnsi="Arial" w:cs="Arial"/>
          <w:b/>
          <w:bCs/>
        </w:rPr>
        <w:t xml:space="preserve">: Measurements on TN carriers (if configured by the NW) can start before </w:t>
      </w:r>
      <w:r w:rsidR="003D0123">
        <w:rPr>
          <w:rFonts w:ascii="Arial" w:hAnsi="Arial" w:cs="Arial"/>
          <w:b/>
          <w:bCs/>
        </w:rPr>
        <w:t>t-service</w:t>
      </w:r>
      <w:r w:rsidR="003D0123" w:rsidRPr="00E52AA9">
        <w:rPr>
          <w:rFonts w:ascii="Arial" w:hAnsi="Arial" w:cs="Arial"/>
          <w:b/>
          <w:bCs/>
        </w:rPr>
        <w:t xml:space="preserve"> </w:t>
      </w:r>
      <w:r w:rsidR="00D01493" w:rsidRPr="00D01493">
        <w:rPr>
          <w:rFonts w:ascii="Arial" w:hAnsi="Arial" w:cs="Arial"/>
          <w:b/>
          <w:bCs/>
        </w:rPr>
        <w:t>independently of neighbouring NTN cell coverage</w:t>
      </w:r>
      <w:r w:rsidRPr="00E52AA9">
        <w:rPr>
          <w:rFonts w:ascii="Arial" w:hAnsi="Arial" w:cs="Arial"/>
          <w:b/>
          <w:bCs/>
        </w:rPr>
        <w:t xml:space="preserve">. </w:t>
      </w:r>
    </w:p>
    <w:p w14:paraId="5D98ABE5" w14:textId="77777777" w:rsidR="00E446A3" w:rsidRDefault="00E446A3" w:rsidP="00AB3F45">
      <w:pPr>
        <w:rPr>
          <w:rFonts w:ascii="Arial" w:hAnsi="Arial" w:cs="Arial"/>
          <w:b/>
          <w:bCs/>
        </w:rPr>
      </w:pPr>
    </w:p>
    <w:p w14:paraId="5389C151" w14:textId="77777777" w:rsidR="00E446A3" w:rsidRDefault="00E446A3" w:rsidP="00E446A3">
      <w:pPr>
        <w:rPr>
          <w:rFonts w:ascii="Arial" w:hAnsi="Arial" w:cs="Arial"/>
        </w:rPr>
      </w:pPr>
      <w:r>
        <w:rPr>
          <w:rFonts w:ascii="Arial" w:hAnsi="Arial" w:cs="Arial"/>
        </w:rPr>
        <w:t xml:space="preserve">RAN2 should discuss particularly for scenario B whether it is better to start measuring TN cells before t-service expires, better to wait for RLF and then proceed to attempt re-establishment on the neighbouring NTN cell, or better to allow the operator to configure which of these behaviours to allow. </w:t>
      </w:r>
    </w:p>
    <w:p w14:paraId="452A5B24" w14:textId="77777777" w:rsidR="00E446A3" w:rsidRDefault="00E446A3" w:rsidP="00AB3F45">
      <w:pPr>
        <w:rPr>
          <w:rFonts w:ascii="Arial" w:hAnsi="Arial" w:cs="Arial"/>
          <w:b/>
          <w:bCs/>
        </w:rPr>
      </w:pPr>
    </w:p>
    <w:p w14:paraId="6CAA66B1" w14:textId="2A667BE4" w:rsidR="00F46D43" w:rsidRPr="00E52AA9" w:rsidRDefault="00E446A3" w:rsidP="00AB3F45">
      <w:pPr>
        <w:rPr>
          <w:rFonts w:ascii="Arial" w:hAnsi="Arial" w:cs="Arial"/>
          <w:b/>
          <w:bCs/>
        </w:rPr>
      </w:pPr>
      <w:r>
        <w:rPr>
          <w:rFonts w:ascii="Arial" w:hAnsi="Arial" w:cs="Arial"/>
          <w:b/>
          <w:bCs/>
        </w:rPr>
        <w:t>Proposal 2b: For the hard switch coverage scenario, discuss whether UE should wait until t-Service before starting TN measurements, or whether UE should start TN measurements before t-Service.</w:t>
      </w:r>
      <w:r w:rsidR="00E52AA9" w:rsidRPr="00E52AA9">
        <w:rPr>
          <w:rFonts w:ascii="Arial" w:hAnsi="Arial" w:cs="Arial"/>
          <w:b/>
          <w:bCs/>
        </w:rPr>
        <w:t xml:space="preserve"> </w:t>
      </w:r>
    </w:p>
    <w:p w14:paraId="11E32057" w14:textId="77777777" w:rsidR="00E52AA9" w:rsidRPr="00AC3CD2" w:rsidRDefault="00E52AA9" w:rsidP="00AB3F45">
      <w:pPr>
        <w:rPr>
          <w:rFonts w:ascii="Arial" w:hAnsi="Arial" w:cs="Arial"/>
        </w:rPr>
      </w:pPr>
    </w:p>
    <w:p w14:paraId="34A72700" w14:textId="399C43EB" w:rsidR="00F14DA5" w:rsidRDefault="00AB3F45" w:rsidP="00AB3F45">
      <w:pPr>
        <w:rPr>
          <w:rFonts w:ascii="Arial" w:hAnsi="Arial" w:cs="Arial"/>
        </w:rPr>
      </w:pPr>
      <w:r w:rsidRPr="00AC3CD2">
        <w:rPr>
          <w:rFonts w:ascii="Arial" w:hAnsi="Arial" w:cs="Arial"/>
        </w:rPr>
        <w:t>In addition, a modified</w:t>
      </w:r>
      <w:r>
        <w:rPr>
          <w:rFonts w:ascii="Arial" w:hAnsi="Arial" w:cs="Arial"/>
        </w:rPr>
        <w:t xml:space="preserve"> or an additional shorter</w:t>
      </w:r>
      <w:r w:rsidRPr="00AC3CD2">
        <w:rPr>
          <w:rFonts w:ascii="Arial" w:hAnsi="Arial" w:cs="Arial"/>
        </w:rPr>
        <w:t xml:space="preserve"> T310 was discussed in R17 for NB-IoT. It was not agreed in R17 because some companies ha</w:t>
      </w:r>
      <w:r>
        <w:rPr>
          <w:rFonts w:ascii="Arial" w:hAnsi="Arial" w:cs="Arial"/>
        </w:rPr>
        <w:t>d</w:t>
      </w:r>
      <w:r w:rsidRPr="00AC3CD2">
        <w:rPr>
          <w:rFonts w:ascii="Arial" w:hAnsi="Arial" w:cs="Arial"/>
        </w:rPr>
        <w:t xml:space="preserve"> a concern that a </w:t>
      </w:r>
      <w:r>
        <w:rPr>
          <w:rFonts w:ascii="Arial" w:hAnsi="Arial" w:cs="Arial"/>
        </w:rPr>
        <w:t>shorter</w:t>
      </w:r>
      <w:r w:rsidRPr="00AC3CD2">
        <w:rPr>
          <w:rFonts w:ascii="Arial" w:hAnsi="Arial" w:cs="Arial"/>
        </w:rPr>
        <w:t xml:space="preserve"> T310 may prevent the UE from recovering in “real” RLF scenarios. For NTN, however, we have a better idea of whether the RLF is detected due to radio condition problems or due to cell change, if we can use </w:t>
      </w:r>
      <w:r w:rsidR="00DB4E16" w:rsidRPr="00DB4E16">
        <w:rPr>
          <w:rFonts w:ascii="Arial" w:hAnsi="Arial" w:cs="Arial"/>
          <w:i/>
          <w:iCs/>
        </w:rPr>
        <w:t>t-service</w:t>
      </w:r>
      <w:r w:rsidR="00DB4E16">
        <w:rPr>
          <w:rFonts w:ascii="Arial" w:hAnsi="Arial" w:cs="Arial"/>
        </w:rPr>
        <w:t xml:space="preserve"> and </w:t>
      </w:r>
      <w:r w:rsidRPr="00AB1BD1">
        <w:rPr>
          <w:rFonts w:ascii="Arial" w:hAnsi="Arial" w:cs="Arial"/>
          <w:i/>
          <w:iCs/>
        </w:rPr>
        <w:t>t-</w:t>
      </w:r>
      <w:proofErr w:type="spellStart"/>
      <w:r w:rsidR="00DB4E16">
        <w:rPr>
          <w:rFonts w:ascii="Arial" w:hAnsi="Arial" w:cs="Arial"/>
          <w:i/>
          <w:iCs/>
        </w:rPr>
        <w:t>s</w:t>
      </w:r>
      <w:r w:rsidRPr="00AB1BD1">
        <w:rPr>
          <w:rFonts w:ascii="Arial" w:hAnsi="Arial" w:cs="Arial"/>
          <w:i/>
          <w:iCs/>
        </w:rPr>
        <w:t>ervice</w:t>
      </w:r>
      <w:r>
        <w:rPr>
          <w:rFonts w:ascii="Arial" w:hAnsi="Arial" w:cs="Arial"/>
          <w:i/>
          <w:iCs/>
        </w:rPr>
        <w:t>Start</w:t>
      </w:r>
      <w:proofErr w:type="spellEnd"/>
      <w:r w:rsidRPr="00AC3CD2">
        <w:rPr>
          <w:rFonts w:ascii="Arial" w:hAnsi="Arial" w:cs="Arial"/>
        </w:rPr>
        <w:t xml:space="preserve"> (current cell and neighbour cell) to determine when cell changes occur.</w:t>
      </w:r>
      <w:r w:rsidR="00DB4E16">
        <w:rPr>
          <w:rFonts w:ascii="Arial" w:hAnsi="Arial" w:cs="Arial"/>
        </w:rPr>
        <w:t xml:space="preserve"> </w:t>
      </w:r>
    </w:p>
    <w:p w14:paraId="2DAF2DF2" w14:textId="77777777" w:rsidR="00F14DA5" w:rsidRDefault="00F14DA5" w:rsidP="00AB3F45">
      <w:pPr>
        <w:rPr>
          <w:rFonts w:ascii="Arial" w:hAnsi="Arial" w:cs="Arial"/>
        </w:rPr>
      </w:pPr>
    </w:p>
    <w:p w14:paraId="5E512740" w14:textId="0B8FFB7A" w:rsidR="00F14DA5" w:rsidRDefault="00DB4E16" w:rsidP="00AB3F45">
      <w:pPr>
        <w:rPr>
          <w:rFonts w:ascii="Arial" w:hAnsi="Arial" w:cs="Arial"/>
        </w:rPr>
      </w:pPr>
      <w:r>
        <w:rPr>
          <w:rFonts w:ascii="Arial" w:hAnsi="Arial" w:cs="Arial"/>
        </w:rPr>
        <w:t>If t-service has passed for the serving cell, it is wa</w:t>
      </w:r>
      <w:r w:rsidR="00F14DA5">
        <w:rPr>
          <w:rFonts w:ascii="Arial" w:hAnsi="Arial" w:cs="Arial"/>
        </w:rPr>
        <w:t>s</w:t>
      </w:r>
      <w:r>
        <w:rPr>
          <w:rFonts w:ascii="Arial" w:hAnsi="Arial" w:cs="Arial"/>
        </w:rPr>
        <w:t xml:space="preserve">teful to attempt to recover the radio link on the serving cell </w:t>
      </w:r>
      <w:r w:rsidR="0052419F">
        <w:rPr>
          <w:rFonts w:ascii="Arial" w:hAnsi="Arial" w:cs="Arial"/>
        </w:rPr>
        <w:t>for the duration of T310 if it is known that there is no coverage</w:t>
      </w:r>
      <w:r w:rsidR="00F14DA5">
        <w:rPr>
          <w:rFonts w:ascii="Arial" w:hAnsi="Arial" w:cs="Arial"/>
        </w:rPr>
        <w:t xml:space="preserve"> both in terms of power consumption and service interruption</w:t>
      </w:r>
      <w:r w:rsidR="0052419F">
        <w:rPr>
          <w:rFonts w:ascii="Arial" w:hAnsi="Arial" w:cs="Arial"/>
        </w:rPr>
        <w:t xml:space="preserve">. </w:t>
      </w:r>
    </w:p>
    <w:p w14:paraId="5A8AECFB" w14:textId="77777777" w:rsidR="00F14DA5" w:rsidRDefault="00F14DA5" w:rsidP="00AB3F45">
      <w:pPr>
        <w:rPr>
          <w:rFonts w:ascii="Arial" w:hAnsi="Arial" w:cs="Arial"/>
        </w:rPr>
      </w:pPr>
    </w:p>
    <w:p w14:paraId="12F43762" w14:textId="38AB9938" w:rsidR="00AB3F45" w:rsidRDefault="0052419F" w:rsidP="00AB3F45">
      <w:pPr>
        <w:rPr>
          <w:rFonts w:ascii="Arial" w:hAnsi="Arial" w:cs="Arial"/>
        </w:rPr>
      </w:pPr>
      <w:r>
        <w:rPr>
          <w:rFonts w:ascii="Arial" w:hAnsi="Arial" w:cs="Arial"/>
        </w:rPr>
        <w:t>It’s better to immediately start T311 and attempt to recover on the neighbouring cell. This works for both scenario A and B. For scenario C (discontinuous coverage) this trigger can take into account t-</w:t>
      </w:r>
      <w:proofErr w:type="spellStart"/>
      <w:r>
        <w:rPr>
          <w:rFonts w:ascii="Arial" w:hAnsi="Arial" w:cs="Arial"/>
        </w:rPr>
        <w:t>serviceStart</w:t>
      </w:r>
      <w:proofErr w:type="spellEnd"/>
      <w:r>
        <w:rPr>
          <w:rFonts w:ascii="Arial" w:hAnsi="Arial" w:cs="Arial"/>
        </w:rPr>
        <w:t xml:space="preserve"> and </w:t>
      </w:r>
      <w:proofErr w:type="gramStart"/>
      <w:r>
        <w:rPr>
          <w:rFonts w:ascii="Arial" w:hAnsi="Arial" w:cs="Arial"/>
        </w:rPr>
        <w:t>e.g.</w:t>
      </w:r>
      <w:proofErr w:type="gramEnd"/>
      <w:r>
        <w:rPr>
          <w:rFonts w:ascii="Arial" w:hAnsi="Arial" w:cs="Arial"/>
        </w:rPr>
        <w:t xml:space="preserve"> start T311 only when it is known that the neighbour cell coverage is starting (after the coverage gap)</w:t>
      </w:r>
      <w:r w:rsidR="005E6168">
        <w:rPr>
          <w:rFonts w:ascii="Arial" w:hAnsi="Arial" w:cs="Arial"/>
        </w:rPr>
        <w:t>, for example as shown in figure 3.</w:t>
      </w:r>
    </w:p>
    <w:p w14:paraId="41A0F431" w14:textId="066FA8EA" w:rsidR="00F802F6" w:rsidRDefault="005E6168" w:rsidP="0093396F">
      <w:pPr>
        <w:jc w:val="center"/>
        <w:rPr>
          <w:rFonts w:ascii="Arial" w:hAnsi="Arial" w:cs="Arial"/>
        </w:rPr>
      </w:pPr>
      <w:r>
        <w:rPr>
          <w:rFonts w:ascii="Arial" w:hAnsi="Arial" w:cs="Arial"/>
          <w:noProof/>
        </w:rPr>
        <w:drawing>
          <wp:inline distT="0" distB="0" distL="0" distR="0" wp14:anchorId="09CFA0FE" wp14:editId="16C975F3">
            <wp:extent cx="4812872" cy="2969699"/>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15085" cy="2971064"/>
                    </a:xfrm>
                    <a:prstGeom prst="rect">
                      <a:avLst/>
                    </a:prstGeom>
                    <a:noFill/>
                  </pic:spPr>
                </pic:pic>
              </a:graphicData>
            </a:graphic>
          </wp:inline>
        </w:drawing>
      </w:r>
    </w:p>
    <w:p w14:paraId="27AA8404" w14:textId="6E5D9365" w:rsidR="005E6168" w:rsidRDefault="005E6168" w:rsidP="005E6168">
      <w:pPr>
        <w:jc w:val="center"/>
        <w:rPr>
          <w:rFonts w:ascii="Arial" w:hAnsi="Arial" w:cs="Arial"/>
          <w:b/>
          <w:bCs/>
          <w:lang w:val="en-US"/>
        </w:rPr>
      </w:pPr>
      <w:r w:rsidRPr="001123B7">
        <w:rPr>
          <w:rFonts w:ascii="Arial" w:hAnsi="Arial" w:cs="Arial"/>
          <w:b/>
          <w:bCs/>
          <w:lang w:val="en-US"/>
        </w:rPr>
        <w:t xml:space="preserve">Figure </w:t>
      </w:r>
      <w:r>
        <w:rPr>
          <w:rFonts w:ascii="Arial" w:hAnsi="Arial" w:cs="Arial"/>
          <w:b/>
          <w:bCs/>
          <w:lang w:val="en-US"/>
        </w:rPr>
        <w:t>3</w:t>
      </w:r>
      <w:r w:rsidRPr="001123B7">
        <w:rPr>
          <w:rFonts w:ascii="Arial" w:hAnsi="Arial" w:cs="Arial"/>
          <w:b/>
          <w:bCs/>
          <w:lang w:val="en-US"/>
        </w:rPr>
        <w:t xml:space="preserve">: RLF </w:t>
      </w:r>
      <w:r>
        <w:rPr>
          <w:rFonts w:ascii="Arial" w:hAnsi="Arial" w:cs="Arial"/>
          <w:b/>
          <w:bCs/>
          <w:lang w:val="en-US"/>
        </w:rPr>
        <w:t>enhancement</w:t>
      </w:r>
      <w:r w:rsidRPr="001123B7">
        <w:rPr>
          <w:rFonts w:ascii="Arial" w:hAnsi="Arial" w:cs="Arial"/>
          <w:b/>
          <w:bCs/>
          <w:lang w:val="en-US"/>
        </w:rPr>
        <w:t xml:space="preserve"> </w:t>
      </w:r>
      <w:r>
        <w:rPr>
          <w:rFonts w:ascii="Arial" w:hAnsi="Arial" w:cs="Arial"/>
          <w:b/>
          <w:bCs/>
          <w:lang w:val="en-US"/>
        </w:rPr>
        <w:t xml:space="preserve">for IoT-NTN </w:t>
      </w:r>
      <w:r w:rsidRPr="001123B7">
        <w:rPr>
          <w:rFonts w:ascii="Arial" w:hAnsi="Arial" w:cs="Arial"/>
          <w:b/>
          <w:bCs/>
          <w:lang w:val="en-US"/>
        </w:rPr>
        <w:t>in Rel-1</w:t>
      </w:r>
      <w:r>
        <w:rPr>
          <w:rFonts w:ascii="Arial" w:hAnsi="Arial" w:cs="Arial"/>
          <w:b/>
          <w:bCs/>
          <w:lang w:val="en-US"/>
        </w:rPr>
        <w:t>8</w:t>
      </w:r>
    </w:p>
    <w:p w14:paraId="2FDF64E0" w14:textId="77777777" w:rsidR="005E6168" w:rsidRPr="001123B7" w:rsidRDefault="005E6168" w:rsidP="005E6168">
      <w:pPr>
        <w:jc w:val="center"/>
        <w:rPr>
          <w:rFonts w:ascii="Arial" w:hAnsi="Arial" w:cs="Arial"/>
          <w:b/>
          <w:bCs/>
          <w:lang w:val="en-US"/>
        </w:rPr>
      </w:pPr>
    </w:p>
    <w:p w14:paraId="5EB95F03" w14:textId="03F6D884" w:rsidR="00F802F6" w:rsidRPr="00AC3CD2" w:rsidRDefault="00F802F6" w:rsidP="00AB3F45">
      <w:pPr>
        <w:rPr>
          <w:rFonts w:ascii="Arial" w:hAnsi="Arial" w:cs="Arial"/>
        </w:rPr>
      </w:pPr>
      <w:r>
        <w:rPr>
          <w:rFonts w:ascii="Arial" w:hAnsi="Arial" w:cs="Arial"/>
        </w:rPr>
        <w:t>The actual trigger can be discussed. For example, it could be specified that the UE continues RLM until RLF is actually detected (</w:t>
      </w:r>
      <w:proofErr w:type="gramStart"/>
      <w:r>
        <w:rPr>
          <w:rFonts w:ascii="Arial" w:hAnsi="Arial" w:cs="Arial"/>
        </w:rPr>
        <w:t>i.e.</w:t>
      </w:r>
      <w:proofErr w:type="gramEnd"/>
      <w:r>
        <w:rPr>
          <w:rFonts w:ascii="Arial" w:hAnsi="Arial" w:cs="Arial"/>
        </w:rPr>
        <w:t xml:space="preserve"> N310 out of sync indications are detected). Another way is to stop RLM immediately when t-service elapses and directly start T311 without waiting for RLF detection.</w:t>
      </w:r>
      <w:r w:rsidR="003D0123">
        <w:rPr>
          <w:rFonts w:ascii="Arial" w:hAnsi="Arial" w:cs="Arial"/>
        </w:rPr>
        <w:t xml:space="preserve"> Another way is to start measurements of the neighbour cell before RLF, then trigger the re-establishment early only if the neighbour cell has been measured (so continue RLM unless both the t-service has </w:t>
      </w:r>
      <w:proofErr w:type="gramStart"/>
      <w:r w:rsidR="003D0123">
        <w:rPr>
          <w:rFonts w:ascii="Arial" w:hAnsi="Arial" w:cs="Arial"/>
        </w:rPr>
        <w:t>elapsed</w:t>
      </w:r>
      <w:proofErr w:type="gramEnd"/>
      <w:r w:rsidR="003D0123">
        <w:rPr>
          <w:rFonts w:ascii="Arial" w:hAnsi="Arial" w:cs="Arial"/>
        </w:rPr>
        <w:t xml:space="preserve"> and the neighbour cell is detectable or suitable).</w:t>
      </w:r>
    </w:p>
    <w:p w14:paraId="3DFD541D" w14:textId="77777777" w:rsidR="00AB3F45" w:rsidRPr="00691D6D" w:rsidRDefault="00AB3F45" w:rsidP="00AB3F45">
      <w:pPr>
        <w:rPr>
          <w:rFonts w:ascii="Arial" w:hAnsi="Arial" w:cs="Arial"/>
          <w:b/>
          <w:bCs/>
        </w:rPr>
      </w:pPr>
    </w:p>
    <w:p w14:paraId="082575EC" w14:textId="3A272AD3" w:rsidR="003D0123" w:rsidRPr="008D65CD" w:rsidRDefault="003D0123" w:rsidP="003D0123">
      <w:pPr>
        <w:rPr>
          <w:rFonts w:ascii="Arial" w:hAnsi="Arial" w:cs="Arial"/>
          <w:b/>
          <w:bCs/>
        </w:rPr>
      </w:pPr>
      <w:r w:rsidRPr="00691D6D">
        <w:rPr>
          <w:rFonts w:ascii="Arial" w:hAnsi="Arial" w:cs="Arial"/>
          <w:b/>
          <w:bCs/>
        </w:rPr>
        <w:t xml:space="preserve">Proposal </w:t>
      </w:r>
      <w:r>
        <w:rPr>
          <w:rFonts w:ascii="Arial" w:hAnsi="Arial" w:cs="Arial"/>
          <w:b/>
          <w:bCs/>
        </w:rPr>
        <w:t>3</w:t>
      </w:r>
      <w:r w:rsidRPr="00691D6D">
        <w:rPr>
          <w:rFonts w:ascii="Arial" w:hAnsi="Arial" w:cs="Arial"/>
          <w:b/>
          <w:bCs/>
        </w:rPr>
        <w:t>:</w:t>
      </w:r>
      <w:r>
        <w:rPr>
          <w:rFonts w:ascii="Arial" w:hAnsi="Arial" w:cs="Arial"/>
          <w:b/>
          <w:bCs/>
        </w:rPr>
        <w:t xml:space="preserve"> If the </w:t>
      </w:r>
      <w:r w:rsidR="00D01493">
        <w:rPr>
          <w:rFonts w:ascii="Arial" w:hAnsi="Arial" w:cs="Arial"/>
          <w:b/>
          <w:bCs/>
        </w:rPr>
        <w:t>serving</w:t>
      </w:r>
      <w:r>
        <w:rPr>
          <w:rFonts w:ascii="Arial" w:hAnsi="Arial" w:cs="Arial"/>
          <w:b/>
          <w:bCs/>
        </w:rPr>
        <w:t xml:space="preserve"> cell t-service expires, stop T310 and start T311 (</w:t>
      </w:r>
      <w:proofErr w:type="gramStart"/>
      <w:r>
        <w:rPr>
          <w:rFonts w:ascii="Arial" w:hAnsi="Arial" w:cs="Arial"/>
          <w:b/>
          <w:bCs/>
        </w:rPr>
        <w:t>i.e.</w:t>
      </w:r>
      <w:proofErr w:type="gramEnd"/>
      <w:r>
        <w:rPr>
          <w:rFonts w:ascii="Arial" w:hAnsi="Arial" w:cs="Arial"/>
          <w:b/>
          <w:bCs/>
        </w:rPr>
        <w:t xml:space="preserve"> perform cell search and re-establishment without attempting to recover on the current cell for the duration of T310). </w:t>
      </w:r>
    </w:p>
    <w:p w14:paraId="472DE889" w14:textId="01A4BB23" w:rsidR="00AB3F45" w:rsidRDefault="00AB3F45" w:rsidP="00486FBF">
      <w:pPr>
        <w:rPr>
          <w:rFonts w:ascii="Arial" w:hAnsi="Arial" w:cs="Arial"/>
        </w:rPr>
      </w:pPr>
    </w:p>
    <w:p w14:paraId="3959F05C" w14:textId="5935AF86" w:rsidR="009163DF" w:rsidRDefault="00C504AE" w:rsidP="00486FBF">
      <w:pPr>
        <w:rPr>
          <w:rFonts w:ascii="Arial" w:hAnsi="Arial" w:cs="Arial"/>
        </w:rPr>
      </w:pPr>
      <w:r>
        <w:rPr>
          <w:rFonts w:ascii="Arial" w:hAnsi="Arial" w:cs="Arial"/>
        </w:rPr>
        <w:t xml:space="preserve">To support earth moving cells, </w:t>
      </w:r>
      <w:r w:rsidR="000912CC">
        <w:rPr>
          <w:rFonts w:ascii="Arial" w:hAnsi="Arial" w:cs="Arial"/>
        </w:rPr>
        <w:t>distance</w:t>
      </w:r>
      <w:r w:rsidR="00C70C40">
        <w:rPr>
          <w:rFonts w:ascii="Arial" w:hAnsi="Arial" w:cs="Arial"/>
        </w:rPr>
        <w:t>-</w:t>
      </w:r>
      <w:r w:rsidR="000912CC">
        <w:rPr>
          <w:rFonts w:ascii="Arial" w:hAnsi="Arial" w:cs="Arial"/>
        </w:rPr>
        <w:t>based triggers are more suitable</w:t>
      </w:r>
      <w:r w:rsidR="00C70C40">
        <w:rPr>
          <w:rFonts w:ascii="Arial" w:hAnsi="Arial" w:cs="Arial"/>
        </w:rPr>
        <w:t xml:space="preserve"> than </w:t>
      </w:r>
      <w:proofErr w:type="gramStart"/>
      <w:r w:rsidR="00C70C40">
        <w:rPr>
          <w:rFonts w:ascii="Arial" w:hAnsi="Arial" w:cs="Arial"/>
        </w:rPr>
        <w:t>time based</w:t>
      </w:r>
      <w:proofErr w:type="gramEnd"/>
      <w:r w:rsidR="00C70C40">
        <w:rPr>
          <w:rFonts w:ascii="Arial" w:hAnsi="Arial" w:cs="Arial"/>
        </w:rPr>
        <w:t xml:space="preserve"> triggers as the UE needs to determine its position relative </w:t>
      </w:r>
      <w:r w:rsidR="009163DF">
        <w:rPr>
          <w:rFonts w:ascii="Arial" w:hAnsi="Arial" w:cs="Arial"/>
        </w:rPr>
        <w:t xml:space="preserve">to the serving and incoming satellites. </w:t>
      </w:r>
    </w:p>
    <w:p w14:paraId="11A79F73" w14:textId="03607099" w:rsidR="009163DF" w:rsidRPr="00674E02" w:rsidRDefault="009163DF" w:rsidP="00486FBF">
      <w:pPr>
        <w:rPr>
          <w:rFonts w:ascii="Arial" w:hAnsi="Arial" w:cs="Arial"/>
          <w:b/>
          <w:bCs/>
        </w:rPr>
      </w:pPr>
      <w:r w:rsidRPr="00674E02">
        <w:rPr>
          <w:rFonts w:ascii="Arial" w:hAnsi="Arial" w:cs="Arial"/>
          <w:b/>
          <w:bCs/>
        </w:rPr>
        <w:t xml:space="preserve">Proposal 4: Introduce </w:t>
      </w:r>
      <w:r w:rsidR="00EB2B91" w:rsidRPr="00674E02">
        <w:rPr>
          <w:rFonts w:ascii="Arial" w:hAnsi="Arial" w:cs="Arial"/>
          <w:b/>
          <w:bCs/>
        </w:rPr>
        <w:t xml:space="preserve">a </w:t>
      </w:r>
      <w:r w:rsidRPr="00674E02">
        <w:rPr>
          <w:rFonts w:ascii="Arial" w:hAnsi="Arial" w:cs="Arial"/>
          <w:b/>
          <w:bCs/>
        </w:rPr>
        <w:t xml:space="preserve">distance-based </w:t>
      </w:r>
      <w:r w:rsidR="00DF7B4E" w:rsidRPr="00674E02">
        <w:rPr>
          <w:rFonts w:ascii="Arial" w:hAnsi="Arial" w:cs="Arial"/>
          <w:b/>
          <w:bCs/>
        </w:rPr>
        <w:t>trigger for starting neighbour cell measurements before RLF.</w:t>
      </w:r>
    </w:p>
    <w:p w14:paraId="1C76138A" w14:textId="6A47A39A" w:rsidR="00DF7B4E" w:rsidRDefault="00DF7B4E" w:rsidP="00486FBF">
      <w:pPr>
        <w:rPr>
          <w:rFonts w:ascii="Arial" w:hAnsi="Arial" w:cs="Arial"/>
        </w:rPr>
      </w:pPr>
    </w:p>
    <w:p w14:paraId="595C3438" w14:textId="1D4EDAC1" w:rsidR="00DF7B4E" w:rsidRDefault="00DF7B4E" w:rsidP="00486FBF">
      <w:pPr>
        <w:rPr>
          <w:rFonts w:ascii="Arial" w:hAnsi="Arial" w:cs="Arial"/>
        </w:rPr>
      </w:pPr>
      <w:r>
        <w:rPr>
          <w:rFonts w:ascii="Arial" w:hAnsi="Arial" w:cs="Arial"/>
        </w:rPr>
        <w:t xml:space="preserve">Similar to </w:t>
      </w:r>
      <w:r w:rsidR="00A545B9">
        <w:rPr>
          <w:rFonts w:ascii="Arial" w:hAnsi="Arial" w:cs="Arial"/>
        </w:rPr>
        <w:t xml:space="preserve">the time based triggers, the UE should take into account both the serving satellite and the incoming satellite (E.g. similar to </w:t>
      </w:r>
      <w:r w:rsidR="00A90887" w:rsidRPr="00674E02">
        <w:rPr>
          <w:rFonts w:ascii="Arial" w:hAnsi="Arial" w:cs="Arial"/>
        </w:rPr>
        <w:t>condEventD1 in NR, where the event will be satisfied if the distance between the UE and a first reference location (e.g. within the serving cell) is above a threshold, and the distance between the UE and a second reference location (e.g. within a neighbour cell) is below a threshold</w:t>
      </w:r>
      <w:r w:rsidR="00A90887">
        <w:rPr>
          <w:rFonts w:ascii="Arial" w:hAnsi="Arial" w:cs="Arial"/>
        </w:rPr>
        <w:t>.</w:t>
      </w:r>
      <w:r w:rsidR="009A02D0">
        <w:rPr>
          <w:rFonts w:ascii="Arial" w:hAnsi="Arial" w:cs="Arial"/>
        </w:rPr>
        <w:t xml:space="preserve">). Otherwise, UE will start measurements of the incoming satellite </w:t>
      </w:r>
      <w:r w:rsidR="00583FAC">
        <w:rPr>
          <w:rFonts w:ascii="Arial" w:hAnsi="Arial" w:cs="Arial"/>
        </w:rPr>
        <w:t>unnecessarily.</w:t>
      </w:r>
    </w:p>
    <w:p w14:paraId="752AD22F" w14:textId="06CE5E7F" w:rsidR="00583FAC" w:rsidRDefault="00583FAC" w:rsidP="00486FBF">
      <w:pPr>
        <w:rPr>
          <w:rFonts w:ascii="Arial" w:hAnsi="Arial" w:cs="Arial"/>
        </w:rPr>
      </w:pPr>
    </w:p>
    <w:p w14:paraId="360BE6B5" w14:textId="0E429871" w:rsidR="00583FAC" w:rsidRPr="00674E02" w:rsidRDefault="00583FAC" w:rsidP="00486FBF">
      <w:pPr>
        <w:rPr>
          <w:rFonts w:ascii="Arial" w:hAnsi="Arial" w:cs="Arial"/>
          <w:b/>
          <w:bCs/>
        </w:rPr>
      </w:pPr>
      <w:r w:rsidRPr="00674E02">
        <w:rPr>
          <w:rFonts w:ascii="Arial" w:hAnsi="Arial" w:cs="Arial"/>
          <w:b/>
          <w:bCs/>
        </w:rPr>
        <w:lastRenderedPageBreak/>
        <w:t xml:space="preserve">Proposal 5: UE starts measurements on a neighbouring cell </w:t>
      </w:r>
      <w:r w:rsidRPr="00ED5855">
        <w:rPr>
          <w:rFonts w:ascii="Arial" w:hAnsi="Arial" w:cs="Arial"/>
          <w:b/>
          <w:bCs/>
        </w:rPr>
        <w:t>if the distance between the UE and a first reference location (</w:t>
      </w:r>
      <w:proofErr w:type="gramStart"/>
      <w:r w:rsidRPr="00ED5855">
        <w:rPr>
          <w:rFonts w:ascii="Arial" w:hAnsi="Arial" w:cs="Arial"/>
          <w:b/>
          <w:bCs/>
        </w:rPr>
        <w:t>e.g.</w:t>
      </w:r>
      <w:proofErr w:type="gramEnd"/>
      <w:r w:rsidRPr="00ED5855">
        <w:rPr>
          <w:rFonts w:ascii="Arial" w:hAnsi="Arial" w:cs="Arial"/>
          <w:b/>
          <w:bCs/>
        </w:rPr>
        <w:t xml:space="preserve"> within the serving cell) is above a threshold, and the distance between the UE and a second reference location (e.g. within a neighbour cell) is below a threshold</w:t>
      </w:r>
      <w:r w:rsidR="00F60ED0" w:rsidRPr="00674E02">
        <w:rPr>
          <w:rFonts w:ascii="Arial" w:hAnsi="Arial" w:cs="Arial"/>
          <w:b/>
          <w:bCs/>
        </w:rPr>
        <w:t>.</w:t>
      </w:r>
    </w:p>
    <w:p w14:paraId="2BDED73B" w14:textId="07C5C27D" w:rsidR="00AF6EC3" w:rsidRDefault="00AF6EC3" w:rsidP="00486FBF">
      <w:pPr>
        <w:rPr>
          <w:rFonts w:ascii="Arial" w:hAnsi="Arial" w:cs="Arial"/>
        </w:rPr>
      </w:pPr>
    </w:p>
    <w:p w14:paraId="48C2FA32" w14:textId="4A4A6A49" w:rsidR="00AF6EC3" w:rsidRDefault="00AF6EC3" w:rsidP="00486FBF">
      <w:pPr>
        <w:rPr>
          <w:rFonts w:ascii="Arial" w:hAnsi="Arial" w:cs="Arial"/>
        </w:rPr>
      </w:pPr>
      <w:r>
        <w:rPr>
          <w:rFonts w:ascii="Arial" w:hAnsi="Arial" w:cs="Arial"/>
        </w:rPr>
        <w:t xml:space="preserve">In addition, we could consider </w:t>
      </w:r>
      <w:r w:rsidR="00ED5855">
        <w:rPr>
          <w:rFonts w:ascii="Arial" w:hAnsi="Arial" w:cs="Arial"/>
        </w:rPr>
        <w:t xml:space="preserve">using </w:t>
      </w:r>
      <w:proofErr w:type="gramStart"/>
      <w:r w:rsidR="00ED5855">
        <w:rPr>
          <w:rFonts w:ascii="Arial" w:hAnsi="Arial" w:cs="Arial"/>
        </w:rPr>
        <w:t>distance based</w:t>
      </w:r>
      <w:proofErr w:type="gramEnd"/>
      <w:r w:rsidR="00ED5855">
        <w:rPr>
          <w:rFonts w:ascii="Arial" w:hAnsi="Arial" w:cs="Arial"/>
        </w:rPr>
        <w:t xml:space="preserve"> criteria to perform a faster re-establishment, similar to proposal 3. </w:t>
      </w:r>
      <w:r w:rsidR="009D1BE3">
        <w:rPr>
          <w:rFonts w:ascii="Arial" w:hAnsi="Arial" w:cs="Arial"/>
        </w:rPr>
        <w:t xml:space="preserve">The </w:t>
      </w:r>
      <w:r w:rsidR="000C1CEB">
        <w:rPr>
          <w:rFonts w:ascii="Arial" w:hAnsi="Arial" w:cs="Arial"/>
        </w:rPr>
        <w:t xml:space="preserve">threshold would be different to the ones for starting measurements, since the UE would need to be </w:t>
      </w:r>
      <w:r w:rsidR="00CB43E4">
        <w:rPr>
          <w:rFonts w:ascii="Arial" w:hAnsi="Arial" w:cs="Arial"/>
        </w:rPr>
        <w:t xml:space="preserve">outside of coverage of the serving cell to be sure that this is not radio environment problem but rather a coverage problem due to the </w:t>
      </w:r>
      <w:proofErr w:type="spellStart"/>
      <w:r w:rsidR="00CB43E4">
        <w:rPr>
          <w:rFonts w:ascii="Arial" w:hAnsi="Arial" w:cs="Arial"/>
        </w:rPr>
        <w:t>dsatellite</w:t>
      </w:r>
      <w:proofErr w:type="spellEnd"/>
      <w:r w:rsidR="00CB43E4">
        <w:rPr>
          <w:rFonts w:ascii="Arial" w:hAnsi="Arial" w:cs="Arial"/>
        </w:rPr>
        <w:t xml:space="preserve"> availability.</w:t>
      </w:r>
    </w:p>
    <w:p w14:paraId="42A2B660" w14:textId="30A0ED40" w:rsidR="00ED5855" w:rsidRDefault="00ED5855" w:rsidP="00486FBF">
      <w:pPr>
        <w:rPr>
          <w:rFonts w:ascii="Arial" w:hAnsi="Arial" w:cs="Arial"/>
        </w:rPr>
      </w:pPr>
    </w:p>
    <w:p w14:paraId="55160EB1" w14:textId="1EA39E47" w:rsidR="00ED5855" w:rsidRPr="00ED5855" w:rsidRDefault="00ED5855" w:rsidP="00ED5855">
      <w:pPr>
        <w:rPr>
          <w:rFonts w:ascii="Arial" w:hAnsi="Arial" w:cs="Arial"/>
          <w:b/>
          <w:bCs/>
        </w:rPr>
      </w:pPr>
      <w:r w:rsidRPr="00674E02">
        <w:rPr>
          <w:rFonts w:ascii="Arial" w:hAnsi="Arial" w:cs="Arial"/>
          <w:b/>
          <w:bCs/>
        </w:rPr>
        <w:t xml:space="preserve">Proposal 6: If the distance between the UE and </w:t>
      </w:r>
      <w:r w:rsidR="00CB43E4">
        <w:rPr>
          <w:rFonts w:ascii="Arial" w:hAnsi="Arial" w:cs="Arial"/>
          <w:b/>
          <w:bCs/>
        </w:rPr>
        <w:t>the first</w:t>
      </w:r>
      <w:r w:rsidRPr="00674E02">
        <w:rPr>
          <w:rFonts w:ascii="Arial" w:hAnsi="Arial" w:cs="Arial"/>
          <w:b/>
          <w:bCs/>
        </w:rPr>
        <w:t xml:space="preserve"> reference location (</w:t>
      </w:r>
      <w:proofErr w:type="gramStart"/>
      <w:r w:rsidRPr="00674E02">
        <w:rPr>
          <w:rFonts w:ascii="Arial" w:hAnsi="Arial" w:cs="Arial"/>
          <w:b/>
          <w:bCs/>
        </w:rPr>
        <w:t>e.g.</w:t>
      </w:r>
      <w:proofErr w:type="gramEnd"/>
      <w:r w:rsidRPr="00674E02">
        <w:rPr>
          <w:rFonts w:ascii="Arial" w:hAnsi="Arial" w:cs="Arial"/>
          <w:b/>
          <w:bCs/>
        </w:rPr>
        <w:t xml:space="preserve"> within the serving cell) is above a threshold</w:t>
      </w:r>
      <w:r w:rsidR="00CB43E4">
        <w:rPr>
          <w:rFonts w:ascii="Arial" w:hAnsi="Arial" w:cs="Arial"/>
          <w:b/>
          <w:bCs/>
        </w:rPr>
        <w:t xml:space="preserve"> (different threshold than is used for measurements)</w:t>
      </w:r>
      <w:r w:rsidR="003321FF">
        <w:rPr>
          <w:rFonts w:ascii="Arial" w:hAnsi="Arial" w:cs="Arial"/>
          <w:b/>
          <w:bCs/>
        </w:rPr>
        <w:t xml:space="preserve">, </w:t>
      </w:r>
      <w:r w:rsidRPr="00ED5855">
        <w:rPr>
          <w:rFonts w:ascii="Arial" w:hAnsi="Arial" w:cs="Arial"/>
          <w:b/>
          <w:bCs/>
        </w:rPr>
        <w:t xml:space="preserve">stop T310 and start T311 (i.e. perform cell search and re-establishment without attempting to recover on the current cell for the duration of T310). </w:t>
      </w:r>
    </w:p>
    <w:p w14:paraId="02199DF7" w14:textId="380062C9" w:rsidR="00BE3740" w:rsidRPr="00AC3CD2" w:rsidRDefault="00BE3740" w:rsidP="00BE3740">
      <w:pPr>
        <w:pStyle w:val="Heading1"/>
        <w:numPr>
          <w:ilvl w:val="0"/>
          <w:numId w:val="13"/>
        </w:numPr>
        <w:pBdr>
          <w:top w:val="single" w:sz="12" w:space="5" w:color="auto"/>
        </w:pBdr>
        <w:tabs>
          <w:tab w:val="clear" w:pos="720"/>
          <w:tab w:val="num" w:pos="360"/>
          <w:tab w:val="left" w:pos="426"/>
        </w:tabs>
        <w:ind w:hanging="720"/>
        <w:rPr>
          <w:rFonts w:ascii="Arial" w:hAnsi="Arial" w:cs="Arial"/>
        </w:rPr>
      </w:pPr>
      <w:r>
        <w:rPr>
          <w:rFonts w:ascii="Arial" w:hAnsi="Arial" w:cs="Arial"/>
        </w:rPr>
        <w:t>CHO Enhancements</w:t>
      </w:r>
    </w:p>
    <w:p w14:paraId="2BCDCD9F" w14:textId="387B46C9" w:rsidR="00BE3740" w:rsidRPr="00AB3F45" w:rsidRDefault="007810DD" w:rsidP="00BE3740">
      <w:pPr>
        <w:pStyle w:val="Heading2"/>
      </w:pPr>
      <w:r>
        <w:rPr>
          <w:rStyle w:val="Emphasis"/>
          <w:i w:val="0"/>
          <w:iCs/>
        </w:rPr>
        <w:t>3</w:t>
      </w:r>
      <w:r w:rsidR="00BE3740" w:rsidRPr="00AB3F45">
        <w:rPr>
          <w:rStyle w:val="Emphasis"/>
          <w:i w:val="0"/>
          <w:iCs/>
        </w:rPr>
        <w:t>.1</w:t>
      </w:r>
      <w:r w:rsidR="00BE3740" w:rsidRPr="00AB3F45">
        <w:rPr>
          <w:rStyle w:val="Emphasis"/>
          <w:i w:val="0"/>
          <w:iCs/>
        </w:rPr>
        <w:tab/>
      </w:r>
      <w:r w:rsidR="00BE3740" w:rsidRPr="00AB3F45">
        <w:t>Background</w:t>
      </w:r>
    </w:p>
    <w:p w14:paraId="28BA71E4" w14:textId="07F9174C" w:rsidR="00ED5855" w:rsidRDefault="00531C61" w:rsidP="00486FBF">
      <w:pPr>
        <w:rPr>
          <w:rFonts w:ascii="Arial" w:hAnsi="Arial" w:cs="Arial"/>
        </w:rPr>
      </w:pPr>
      <w:r>
        <w:rPr>
          <w:rFonts w:ascii="Arial" w:hAnsi="Arial" w:cs="Arial"/>
        </w:rPr>
        <w:t xml:space="preserve">In RAN2#120 some agreements were made regarding </w:t>
      </w:r>
      <w:r w:rsidR="00351FA8">
        <w:rPr>
          <w:rFonts w:ascii="Arial" w:hAnsi="Arial" w:cs="Arial"/>
        </w:rPr>
        <w:t>conditional reconfiguration, as follows:</w:t>
      </w:r>
    </w:p>
    <w:tbl>
      <w:tblPr>
        <w:tblStyle w:val="TableGrid"/>
        <w:tblW w:w="0" w:type="auto"/>
        <w:tblLook w:val="04A0" w:firstRow="1" w:lastRow="0" w:firstColumn="1" w:lastColumn="0" w:noHBand="0" w:noVBand="1"/>
      </w:tblPr>
      <w:tblGrid>
        <w:gridCol w:w="9629"/>
      </w:tblGrid>
      <w:tr w:rsidR="00351FA8" w14:paraId="4E7F2A7A" w14:textId="77777777" w:rsidTr="00351FA8">
        <w:tc>
          <w:tcPr>
            <w:tcW w:w="9629" w:type="dxa"/>
          </w:tcPr>
          <w:p w14:paraId="47B1101A" w14:textId="77777777" w:rsidR="00351FA8" w:rsidRPr="00CC200C" w:rsidRDefault="00351FA8" w:rsidP="00351FA8">
            <w:pPr>
              <w:pStyle w:val="ListParagraph"/>
              <w:numPr>
                <w:ilvl w:val="0"/>
                <w:numId w:val="32"/>
              </w:numPr>
              <w:ind w:left="1440"/>
              <w:rPr>
                <w:rFonts w:asciiTheme="minorHAnsi" w:eastAsia="MS Mincho" w:hAnsiTheme="minorHAnsi" w:cstheme="minorHAnsi"/>
                <w:b/>
                <w:bCs/>
                <w:sz w:val="20"/>
                <w:szCs w:val="20"/>
              </w:rPr>
            </w:pPr>
            <w:r w:rsidRPr="00CC200C">
              <w:rPr>
                <w:rFonts w:asciiTheme="minorHAnsi" w:eastAsia="MS Mincho" w:hAnsiTheme="minorHAnsi" w:cstheme="minorHAnsi"/>
                <w:b/>
                <w:bCs/>
                <w:sz w:val="20"/>
                <w:szCs w:val="20"/>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p>
          <w:p w14:paraId="6EC3A396" w14:textId="77777777" w:rsidR="00351FA8" w:rsidRPr="00CC200C" w:rsidRDefault="00351FA8" w:rsidP="00351FA8">
            <w:pPr>
              <w:pStyle w:val="ListParagraph"/>
              <w:numPr>
                <w:ilvl w:val="0"/>
                <w:numId w:val="32"/>
              </w:numPr>
              <w:ind w:left="1440"/>
              <w:rPr>
                <w:rFonts w:asciiTheme="minorHAnsi" w:eastAsia="MS Mincho" w:hAnsiTheme="minorHAnsi" w:cstheme="minorHAnsi"/>
                <w:b/>
                <w:bCs/>
                <w:sz w:val="20"/>
                <w:szCs w:val="20"/>
              </w:rPr>
            </w:pPr>
            <w:r w:rsidRPr="00CC200C">
              <w:rPr>
                <w:rFonts w:asciiTheme="minorHAnsi" w:eastAsia="MS Mincho" w:hAnsiTheme="minorHAnsi" w:cstheme="minorHAnsi"/>
                <w:b/>
                <w:bCs/>
                <w:sz w:val="20"/>
                <w:szCs w:val="20"/>
              </w:rPr>
              <w:t xml:space="preserve">For </w:t>
            </w:r>
            <w:proofErr w:type="spellStart"/>
            <w:r w:rsidRPr="00CC200C">
              <w:rPr>
                <w:rFonts w:asciiTheme="minorHAnsi" w:eastAsia="MS Mincho" w:hAnsiTheme="minorHAnsi" w:cstheme="minorHAnsi"/>
                <w:b/>
                <w:bCs/>
                <w:sz w:val="20"/>
                <w:szCs w:val="20"/>
              </w:rPr>
              <w:t>eMTC</w:t>
            </w:r>
            <w:proofErr w:type="spellEnd"/>
            <w:r w:rsidRPr="00CC200C">
              <w:rPr>
                <w:rFonts w:asciiTheme="minorHAnsi" w:eastAsia="MS Mincho" w:hAnsiTheme="minorHAnsi" w:cstheme="minorHAnsi"/>
                <w:b/>
                <w:bCs/>
                <w:sz w:val="20"/>
                <w:szCs w:val="20"/>
              </w:rPr>
              <w:t xml:space="preserve"> NTN, introduce a location-based conditional reconfiguration trigger based on condEventD1 in NR, where the event will be satisfied if the distance between the UE and a first reference location (</w:t>
            </w:r>
            <w:proofErr w:type="gramStart"/>
            <w:r w:rsidRPr="00CC200C">
              <w:rPr>
                <w:rFonts w:asciiTheme="minorHAnsi" w:eastAsia="MS Mincho" w:hAnsiTheme="minorHAnsi" w:cstheme="minorHAnsi"/>
                <w:b/>
                <w:bCs/>
                <w:sz w:val="20"/>
                <w:szCs w:val="20"/>
              </w:rPr>
              <w:t>e.g.</w:t>
            </w:r>
            <w:proofErr w:type="gramEnd"/>
            <w:r w:rsidRPr="00CC200C">
              <w:rPr>
                <w:rFonts w:asciiTheme="minorHAnsi" w:eastAsia="MS Mincho" w:hAnsiTheme="minorHAnsi" w:cstheme="minorHAnsi"/>
                <w:b/>
                <w:bCs/>
                <w:sz w:val="20"/>
                <w:szCs w:val="20"/>
              </w:rPr>
              <w:t xml:space="preserve"> within the serving cell) is above a threshold, and the distance between the UE and a second reference location (e.g. within a neighbour cell) is below a threshold. (</w:t>
            </w:r>
            <w:proofErr w:type="gramStart"/>
            <w:r w:rsidRPr="00CC200C">
              <w:rPr>
                <w:rFonts w:asciiTheme="minorHAnsi" w:eastAsia="MS Mincho" w:hAnsiTheme="minorHAnsi" w:cstheme="minorHAnsi"/>
                <w:b/>
                <w:bCs/>
                <w:sz w:val="20"/>
                <w:szCs w:val="20"/>
              </w:rPr>
              <w:t>similar</w:t>
            </w:r>
            <w:proofErr w:type="gramEnd"/>
            <w:r w:rsidRPr="00CC200C">
              <w:rPr>
                <w:rFonts w:asciiTheme="minorHAnsi" w:eastAsia="MS Mincho" w:hAnsiTheme="minorHAnsi" w:cstheme="minorHAnsi"/>
                <w:b/>
                <w:bCs/>
                <w:sz w:val="20"/>
                <w:szCs w:val="20"/>
              </w:rPr>
              <w:t xml:space="preserve"> to condEventD1 in NR)</w:t>
            </w:r>
          </w:p>
          <w:p w14:paraId="6267B224" w14:textId="77777777" w:rsidR="00351FA8" w:rsidRPr="00CC200C" w:rsidRDefault="00351FA8" w:rsidP="00351FA8">
            <w:pPr>
              <w:pStyle w:val="ListParagraph"/>
              <w:numPr>
                <w:ilvl w:val="0"/>
                <w:numId w:val="32"/>
              </w:numPr>
              <w:ind w:left="1440"/>
              <w:rPr>
                <w:rFonts w:asciiTheme="minorHAnsi" w:eastAsia="MS Mincho" w:hAnsiTheme="minorHAnsi" w:cstheme="minorHAnsi"/>
                <w:b/>
                <w:bCs/>
                <w:sz w:val="20"/>
                <w:szCs w:val="20"/>
              </w:rPr>
            </w:pPr>
            <w:r w:rsidRPr="00CC200C">
              <w:rPr>
                <w:rFonts w:asciiTheme="minorHAnsi" w:eastAsia="MS Mincho" w:hAnsiTheme="minorHAnsi" w:cstheme="minorHAnsi"/>
                <w:b/>
                <w:bCs/>
                <w:sz w:val="20"/>
                <w:szCs w:val="20"/>
              </w:rPr>
              <w:t xml:space="preserve">For </w:t>
            </w:r>
            <w:proofErr w:type="spellStart"/>
            <w:r w:rsidRPr="00CC200C">
              <w:rPr>
                <w:rFonts w:asciiTheme="minorHAnsi" w:eastAsia="MS Mincho" w:hAnsiTheme="minorHAnsi" w:cstheme="minorHAnsi"/>
                <w:b/>
                <w:bCs/>
                <w:sz w:val="20"/>
                <w:szCs w:val="20"/>
              </w:rPr>
              <w:t>eMTC</w:t>
            </w:r>
            <w:proofErr w:type="spellEnd"/>
            <w:r w:rsidRPr="00CC200C">
              <w:rPr>
                <w:rFonts w:asciiTheme="minorHAnsi" w:eastAsia="MS Mincho" w:hAnsiTheme="minorHAnsi" w:cstheme="minorHAnsi"/>
                <w:b/>
                <w:bCs/>
                <w:sz w:val="20"/>
                <w:szCs w:val="20"/>
              </w:rPr>
              <w:t xml:space="preserve"> NTN, introduce event A4 based conditional trigger (</w:t>
            </w:r>
            <w:proofErr w:type="gramStart"/>
            <w:r w:rsidRPr="00CC200C">
              <w:rPr>
                <w:rFonts w:asciiTheme="minorHAnsi" w:eastAsia="MS Mincho" w:hAnsiTheme="minorHAnsi" w:cstheme="minorHAnsi"/>
                <w:b/>
                <w:bCs/>
                <w:sz w:val="20"/>
                <w:szCs w:val="20"/>
              </w:rPr>
              <w:t>similar to</w:t>
            </w:r>
            <w:proofErr w:type="gramEnd"/>
            <w:r w:rsidRPr="00CC200C">
              <w:rPr>
                <w:rFonts w:asciiTheme="minorHAnsi" w:eastAsia="MS Mincho" w:hAnsiTheme="minorHAnsi" w:cstheme="minorHAnsi"/>
                <w:b/>
                <w:bCs/>
                <w:sz w:val="20"/>
                <w:szCs w:val="20"/>
              </w:rPr>
              <w:t xml:space="preserve"> condEventA4 in NR). </w:t>
            </w:r>
          </w:p>
          <w:p w14:paraId="3F2A0AA3" w14:textId="77777777" w:rsidR="00351FA8" w:rsidRPr="00CC200C" w:rsidRDefault="00351FA8" w:rsidP="00351FA8">
            <w:pPr>
              <w:pStyle w:val="ListParagraph"/>
              <w:numPr>
                <w:ilvl w:val="0"/>
                <w:numId w:val="32"/>
              </w:numPr>
              <w:ind w:left="1440"/>
              <w:rPr>
                <w:rFonts w:asciiTheme="minorHAnsi" w:eastAsia="MS Mincho" w:hAnsiTheme="minorHAnsi" w:cstheme="minorHAnsi"/>
                <w:b/>
                <w:bCs/>
                <w:sz w:val="20"/>
                <w:szCs w:val="20"/>
              </w:rPr>
            </w:pPr>
            <w:r w:rsidRPr="00CC200C">
              <w:rPr>
                <w:rFonts w:asciiTheme="minorHAnsi" w:eastAsia="MS Mincho" w:hAnsiTheme="minorHAnsi" w:cstheme="minorHAnsi"/>
                <w:b/>
                <w:bCs/>
                <w:sz w:val="20"/>
                <w:szCs w:val="20"/>
              </w:rPr>
              <w:t xml:space="preserve">FFS whether time and location-based trigger conditions may be configured independently (i.e., without a jointly configured event A4 measurement condition) for </w:t>
            </w:r>
            <w:proofErr w:type="spellStart"/>
            <w:r w:rsidRPr="00CC200C">
              <w:rPr>
                <w:rFonts w:asciiTheme="minorHAnsi" w:eastAsia="MS Mincho" w:hAnsiTheme="minorHAnsi" w:cstheme="minorHAnsi"/>
                <w:b/>
                <w:bCs/>
                <w:sz w:val="20"/>
                <w:szCs w:val="20"/>
              </w:rPr>
              <w:t>eMTC</w:t>
            </w:r>
            <w:proofErr w:type="spellEnd"/>
            <w:r w:rsidRPr="00CC200C">
              <w:rPr>
                <w:rFonts w:asciiTheme="minorHAnsi" w:eastAsia="MS Mincho" w:hAnsiTheme="minorHAnsi" w:cstheme="minorHAnsi"/>
                <w:b/>
                <w:bCs/>
                <w:sz w:val="20"/>
                <w:szCs w:val="20"/>
              </w:rPr>
              <w:t xml:space="preserve"> NTN.</w:t>
            </w:r>
          </w:p>
          <w:p w14:paraId="679EB47E" w14:textId="77777777" w:rsidR="00351FA8" w:rsidRDefault="00351FA8" w:rsidP="00486FBF">
            <w:pPr>
              <w:rPr>
                <w:rFonts w:ascii="Arial" w:hAnsi="Arial" w:cs="Arial"/>
              </w:rPr>
            </w:pPr>
          </w:p>
        </w:tc>
      </w:tr>
    </w:tbl>
    <w:p w14:paraId="79FF77C7" w14:textId="14752C11" w:rsidR="00351FA8" w:rsidRDefault="00351FA8" w:rsidP="00486FBF">
      <w:pPr>
        <w:rPr>
          <w:rFonts w:ascii="Arial" w:hAnsi="Arial" w:cs="Arial"/>
        </w:rPr>
      </w:pPr>
    </w:p>
    <w:p w14:paraId="1F02B2A2" w14:textId="73BD902A" w:rsidR="00923A85" w:rsidRDefault="007810DD" w:rsidP="00923A85">
      <w:pPr>
        <w:pStyle w:val="Heading2"/>
      </w:pPr>
      <w:r>
        <w:t>3</w:t>
      </w:r>
      <w:r w:rsidR="00923A85">
        <w:t>.2</w:t>
      </w:r>
      <w:r w:rsidR="00923A85">
        <w:tab/>
        <w:t xml:space="preserve"> Discussion</w:t>
      </w:r>
    </w:p>
    <w:p w14:paraId="37B73D32" w14:textId="77777777" w:rsidR="007810DD" w:rsidRPr="007810DD" w:rsidRDefault="007810DD" w:rsidP="00C36D19">
      <w:pPr>
        <w:pStyle w:val="Doc-title"/>
      </w:pPr>
    </w:p>
    <w:p w14:paraId="6E95E00D" w14:textId="4CBAB821" w:rsidR="006D50F0" w:rsidRDefault="00351FA8" w:rsidP="00486FBF">
      <w:pPr>
        <w:rPr>
          <w:rFonts w:ascii="Arial" w:hAnsi="Arial" w:cs="Arial"/>
        </w:rPr>
      </w:pPr>
      <w:r>
        <w:rPr>
          <w:rFonts w:ascii="Arial" w:hAnsi="Arial" w:cs="Arial"/>
        </w:rPr>
        <w:t xml:space="preserve">In our opinion, the first agreement </w:t>
      </w:r>
      <w:r w:rsidR="00E06F2B">
        <w:rPr>
          <w:rFonts w:ascii="Arial" w:hAnsi="Arial" w:cs="Arial"/>
        </w:rPr>
        <w:t xml:space="preserve">on </w:t>
      </w:r>
      <w:proofErr w:type="gramStart"/>
      <w:r w:rsidR="00E06F2B">
        <w:rPr>
          <w:rFonts w:ascii="Arial" w:hAnsi="Arial" w:cs="Arial"/>
        </w:rPr>
        <w:t>time based</w:t>
      </w:r>
      <w:proofErr w:type="gramEnd"/>
      <w:r w:rsidR="00E06F2B">
        <w:rPr>
          <w:rFonts w:ascii="Arial" w:hAnsi="Arial" w:cs="Arial"/>
        </w:rPr>
        <w:t xml:space="preserve"> trigger </w:t>
      </w:r>
      <w:r>
        <w:rPr>
          <w:rFonts w:ascii="Arial" w:hAnsi="Arial" w:cs="Arial"/>
        </w:rPr>
        <w:t>should be clarified such that the stage 3 behaviour is more clear</w:t>
      </w:r>
      <w:r w:rsidR="00E06F2B">
        <w:rPr>
          <w:rFonts w:ascii="Arial" w:hAnsi="Arial" w:cs="Arial"/>
        </w:rPr>
        <w:t xml:space="preserve"> and NR behaviour can be used as a baseline</w:t>
      </w:r>
      <w:r w:rsidR="006D50F0">
        <w:rPr>
          <w:rFonts w:ascii="Arial" w:hAnsi="Arial" w:cs="Arial"/>
        </w:rPr>
        <w:t>.</w:t>
      </w:r>
    </w:p>
    <w:p w14:paraId="6E283BB9" w14:textId="48909AF7" w:rsidR="00351FA8" w:rsidRDefault="00351FA8" w:rsidP="00486FBF">
      <w:pPr>
        <w:rPr>
          <w:rFonts w:ascii="Arial" w:hAnsi="Arial" w:cs="Arial"/>
        </w:rPr>
      </w:pPr>
      <w:r>
        <w:rPr>
          <w:rFonts w:ascii="Arial" w:hAnsi="Arial" w:cs="Arial"/>
        </w:rPr>
        <w:t xml:space="preserve"> </w:t>
      </w:r>
    </w:p>
    <w:p w14:paraId="138910FF" w14:textId="17EE838A" w:rsidR="00DC486D" w:rsidRPr="00B90BD9" w:rsidRDefault="00DC486D" w:rsidP="00DC486D">
      <w:pPr>
        <w:rPr>
          <w:rFonts w:ascii="Arial" w:hAnsi="Arial" w:cs="Arial"/>
          <w:b/>
          <w:bCs/>
        </w:rPr>
      </w:pPr>
      <w:r w:rsidRPr="00C36D19">
        <w:rPr>
          <w:rFonts w:ascii="Arial" w:hAnsi="Arial" w:cs="Arial"/>
          <w:b/>
          <w:bCs/>
        </w:rPr>
        <w:t xml:space="preserve">Proposal 7: For </w:t>
      </w:r>
      <w:proofErr w:type="spellStart"/>
      <w:r w:rsidRPr="00C36D19">
        <w:rPr>
          <w:rFonts w:ascii="Arial" w:hAnsi="Arial" w:cs="Arial"/>
          <w:b/>
          <w:bCs/>
        </w:rPr>
        <w:t>eMTC</w:t>
      </w:r>
      <w:proofErr w:type="spellEnd"/>
      <w:r w:rsidRPr="00C36D19">
        <w:rPr>
          <w:rFonts w:ascii="Arial" w:hAnsi="Arial" w:cs="Arial"/>
          <w:b/>
          <w:bCs/>
        </w:rPr>
        <w:t xml:space="preserve"> NTN, </w:t>
      </w:r>
      <w:r w:rsidR="009B36DF">
        <w:rPr>
          <w:rFonts w:ascii="Arial" w:hAnsi="Arial" w:cs="Arial"/>
          <w:b/>
          <w:bCs/>
        </w:rPr>
        <w:t>clarify that the</w:t>
      </w:r>
      <w:r w:rsidRPr="00C36D19">
        <w:rPr>
          <w:rFonts w:ascii="Arial" w:hAnsi="Arial" w:cs="Arial"/>
          <w:b/>
          <w:bCs/>
        </w:rPr>
        <w:t xml:space="preserve"> </w:t>
      </w:r>
      <w:r w:rsidR="00E06F2B">
        <w:rPr>
          <w:rFonts w:ascii="Arial" w:hAnsi="Arial" w:cs="Arial"/>
          <w:b/>
          <w:bCs/>
        </w:rPr>
        <w:t xml:space="preserve">agreed </w:t>
      </w:r>
      <w:r w:rsidRPr="00C36D19">
        <w:rPr>
          <w:rFonts w:ascii="Arial" w:hAnsi="Arial" w:cs="Arial"/>
          <w:b/>
          <w:bCs/>
        </w:rPr>
        <w:t xml:space="preserve">time-based conditional reconfiguration trigger </w:t>
      </w:r>
      <w:r w:rsidR="009B36DF">
        <w:rPr>
          <w:rFonts w:ascii="Arial" w:hAnsi="Arial" w:cs="Arial"/>
          <w:b/>
          <w:bCs/>
        </w:rPr>
        <w:t xml:space="preserve">is </w:t>
      </w:r>
      <w:r w:rsidRPr="00C36D19">
        <w:rPr>
          <w:rFonts w:ascii="Arial" w:hAnsi="Arial" w:cs="Arial"/>
          <w:b/>
          <w:bCs/>
        </w:rPr>
        <w:t>based on condEventT1 in NR, where the event will be satisfied if conditional handover execution occurs between T1 and T2, where T2 = T1 + a duration (</w:t>
      </w:r>
      <w:proofErr w:type="gramStart"/>
      <w:r w:rsidRPr="00C36D19">
        <w:rPr>
          <w:rFonts w:ascii="Arial" w:hAnsi="Arial" w:cs="Arial"/>
          <w:b/>
          <w:bCs/>
        </w:rPr>
        <w:t>similar to</w:t>
      </w:r>
      <w:proofErr w:type="gramEnd"/>
      <w:r w:rsidRPr="00C36D19">
        <w:rPr>
          <w:rFonts w:ascii="Arial" w:hAnsi="Arial" w:cs="Arial"/>
          <w:b/>
          <w:bCs/>
        </w:rPr>
        <w:t xml:space="preserve"> condEventT1 in NR)</w:t>
      </w:r>
    </w:p>
    <w:p w14:paraId="6189FE03" w14:textId="48BA188A" w:rsidR="00DC486D" w:rsidRDefault="00DC486D" w:rsidP="00486FBF">
      <w:pPr>
        <w:rPr>
          <w:rFonts w:ascii="Arial" w:hAnsi="Arial" w:cs="Arial"/>
        </w:rPr>
      </w:pPr>
    </w:p>
    <w:p w14:paraId="264C4D03" w14:textId="766D8896" w:rsidR="009B36DF" w:rsidRDefault="009B36DF" w:rsidP="00486FBF">
      <w:pPr>
        <w:rPr>
          <w:rFonts w:ascii="Arial" w:hAnsi="Arial" w:cs="Arial"/>
        </w:rPr>
      </w:pPr>
      <w:r>
        <w:rPr>
          <w:rFonts w:ascii="Arial" w:hAnsi="Arial" w:cs="Arial"/>
        </w:rPr>
        <w:t xml:space="preserve">There also remains an FFS whether </w:t>
      </w:r>
      <w:r w:rsidRPr="009B36DF">
        <w:rPr>
          <w:rFonts w:ascii="Arial" w:hAnsi="Arial" w:cs="Arial"/>
        </w:rPr>
        <w:t xml:space="preserve">time and location-based trigger conditions may be configured independently (i.e., without a jointly configured event A4 measurement condition) for </w:t>
      </w:r>
      <w:proofErr w:type="spellStart"/>
      <w:r w:rsidRPr="009B36DF">
        <w:rPr>
          <w:rFonts w:ascii="Arial" w:hAnsi="Arial" w:cs="Arial"/>
        </w:rPr>
        <w:t>eMTC</w:t>
      </w:r>
      <w:proofErr w:type="spellEnd"/>
      <w:r w:rsidRPr="009B36DF">
        <w:rPr>
          <w:rFonts w:ascii="Arial" w:hAnsi="Arial" w:cs="Arial"/>
        </w:rPr>
        <w:t xml:space="preserve"> NTN.</w:t>
      </w:r>
    </w:p>
    <w:p w14:paraId="631DC984" w14:textId="77777777" w:rsidR="009B36DF" w:rsidRDefault="009B36DF" w:rsidP="00486FBF">
      <w:pPr>
        <w:rPr>
          <w:rFonts w:ascii="Arial" w:hAnsi="Arial" w:cs="Arial"/>
        </w:rPr>
      </w:pPr>
    </w:p>
    <w:p w14:paraId="35C0587D" w14:textId="77777777" w:rsidR="009B36DF" w:rsidRDefault="009B36DF" w:rsidP="009B36DF">
      <w:pPr>
        <w:rPr>
          <w:rFonts w:ascii="Arial" w:hAnsi="Arial" w:cs="Arial"/>
        </w:rPr>
      </w:pPr>
      <w:r>
        <w:rPr>
          <w:rFonts w:ascii="Arial" w:hAnsi="Arial" w:cs="Arial"/>
        </w:rPr>
        <w:t>For NR, b</w:t>
      </w:r>
      <w:r w:rsidRPr="00AC3CD2">
        <w:rPr>
          <w:rFonts w:ascii="Arial" w:hAnsi="Arial" w:cs="Arial"/>
        </w:rPr>
        <w:t>oth time and location-based trigger conditions must be simultaneously configured with a measurement condition (</w:t>
      </w:r>
      <w:proofErr w:type="gramStart"/>
      <w:r w:rsidRPr="00AC3CD2">
        <w:rPr>
          <w:rFonts w:ascii="Arial" w:hAnsi="Arial" w:cs="Arial"/>
        </w:rPr>
        <w:t>e.g.</w:t>
      </w:r>
      <w:proofErr w:type="gramEnd"/>
      <w:r w:rsidRPr="00AC3CD2">
        <w:rPr>
          <w:rFonts w:ascii="Arial" w:hAnsi="Arial" w:cs="Arial"/>
        </w:rPr>
        <w:t xml:space="preserve"> A4) in Rel-17 NTN.</w:t>
      </w:r>
      <w:r>
        <w:rPr>
          <w:rFonts w:ascii="Arial" w:hAnsi="Arial" w:cs="Arial"/>
        </w:rPr>
        <w:t xml:space="preserve"> For </w:t>
      </w:r>
      <w:proofErr w:type="spellStart"/>
      <w:r>
        <w:rPr>
          <w:rFonts w:ascii="Arial" w:hAnsi="Arial" w:cs="Arial"/>
        </w:rPr>
        <w:t>eMTC</w:t>
      </w:r>
      <w:proofErr w:type="spellEnd"/>
      <w:r>
        <w:rPr>
          <w:rFonts w:ascii="Arial" w:hAnsi="Arial" w:cs="Arial"/>
        </w:rPr>
        <w:t xml:space="preserve">, since power saving is one of the main considerations, we may need to allow only </w:t>
      </w:r>
      <w:proofErr w:type="gramStart"/>
      <w:r>
        <w:rPr>
          <w:rFonts w:ascii="Arial" w:hAnsi="Arial" w:cs="Arial"/>
        </w:rPr>
        <w:t>time based</w:t>
      </w:r>
      <w:proofErr w:type="gramEnd"/>
      <w:r>
        <w:rPr>
          <w:rFonts w:ascii="Arial" w:hAnsi="Arial" w:cs="Arial"/>
        </w:rPr>
        <w:t xml:space="preserve"> triggers to be enabled by the network for some devices or scenarios such that the UE does not necessarily need to fulfil e.g. RSRP threshold if configured with location and/or time based triggers only.</w:t>
      </w:r>
    </w:p>
    <w:p w14:paraId="2F0F8742" w14:textId="77777777" w:rsidR="009B36DF" w:rsidRDefault="009B36DF" w:rsidP="009B36DF">
      <w:pPr>
        <w:rPr>
          <w:rFonts w:ascii="Arial" w:hAnsi="Arial" w:cs="Arial"/>
        </w:rPr>
      </w:pPr>
    </w:p>
    <w:p w14:paraId="01C4AC46" w14:textId="27EE9801" w:rsidR="009B36DF" w:rsidRPr="008E6000" w:rsidRDefault="009B36DF" w:rsidP="009B36DF">
      <w:pPr>
        <w:rPr>
          <w:rFonts w:ascii="Arial" w:hAnsi="Arial" w:cs="Arial"/>
          <w:b/>
          <w:bCs/>
        </w:rPr>
      </w:pPr>
      <w:r w:rsidRPr="008E6000">
        <w:rPr>
          <w:rFonts w:ascii="Arial" w:hAnsi="Arial" w:cs="Arial"/>
          <w:b/>
          <w:bCs/>
        </w:rPr>
        <w:t xml:space="preserve">Proposal </w:t>
      </w:r>
      <w:r>
        <w:rPr>
          <w:rFonts w:ascii="Arial" w:hAnsi="Arial" w:cs="Arial"/>
          <w:b/>
          <w:bCs/>
        </w:rPr>
        <w:t>8</w:t>
      </w:r>
      <w:r w:rsidRPr="008E6000">
        <w:rPr>
          <w:rFonts w:ascii="Arial" w:hAnsi="Arial" w:cs="Arial"/>
          <w:b/>
          <w:bCs/>
        </w:rPr>
        <w:t>: Time and location</w:t>
      </w:r>
      <w:r>
        <w:rPr>
          <w:rFonts w:ascii="Arial" w:hAnsi="Arial" w:cs="Arial"/>
          <w:b/>
          <w:bCs/>
        </w:rPr>
        <w:t>-</w:t>
      </w:r>
      <w:r w:rsidRPr="008E6000">
        <w:rPr>
          <w:rFonts w:ascii="Arial" w:hAnsi="Arial" w:cs="Arial"/>
          <w:b/>
          <w:bCs/>
        </w:rPr>
        <w:t>based trigger conditions may be configured independently</w:t>
      </w:r>
      <w:r>
        <w:rPr>
          <w:rFonts w:ascii="Arial" w:hAnsi="Arial" w:cs="Arial"/>
          <w:b/>
          <w:bCs/>
        </w:rPr>
        <w:t xml:space="preserve"> (i.e., without a jointly configured measurement condition)</w:t>
      </w:r>
      <w:r w:rsidRPr="008E6000">
        <w:rPr>
          <w:rFonts w:ascii="Arial" w:hAnsi="Arial" w:cs="Arial"/>
          <w:b/>
          <w:bCs/>
        </w:rPr>
        <w:t xml:space="preserve"> for </w:t>
      </w:r>
      <w:proofErr w:type="spellStart"/>
      <w:r w:rsidRPr="008E6000">
        <w:rPr>
          <w:rFonts w:ascii="Arial" w:hAnsi="Arial" w:cs="Arial"/>
          <w:b/>
          <w:bCs/>
        </w:rPr>
        <w:t>eMTC</w:t>
      </w:r>
      <w:proofErr w:type="spellEnd"/>
      <w:r w:rsidRPr="008E6000">
        <w:rPr>
          <w:rFonts w:ascii="Arial" w:hAnsi="Arial" w:cs="Arial"/>
          <w:b/>
          <w:bCs/>
        </w:rPr>
        <w:t xml:space="preserve"> NTN.</w:t>
      </w:r>
    </w:p>
    <w:p w14:paraId="230F7236" w14:textId="77777777" w:rsidR="009B36DF" w:rsidRPr="00F60ED0" w:rsidRDefault="009B36DF" w:rsidP="00486FBF">
      <w:pPr>
        <w:rPr>
          <w:rFonts w:ascii="Arial" w:hAnsi="Arial" w:cs="Arial"/>
        </w:rPr>
      </w:pPr>
    </w:p>
    <w:p w14:paraId="0EC22F6F" w14:textId="18D08413" w:rsidR="008F4846" w:rsidRPr="00AC3CD2" w:rsidRDefault="00B12753" w:rsidP="00EA5314">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Conclusion</w:t>
      </w:r>
    </w:p>
    <w:p w14:paraId="367E2C4B" w14:textId="659DBA89" w:rsidR="00551638" w:rsidRDefault="00551638" w:rsidP="00551638">
      <w:pPr>
        <w:jc w:val="both"/>
        <w:rPr>
          <w:rFonts w:ascii="Arial" w:hAnsi="Arial" w:cs="Arial"/>
          <w:lang w:val="en-US"/>
        </w:rPr>
      </w:pPr>
      <w:r w:rsidRPr="00AC3CD2">
        <w:rPr>
          <w:rFonts w:ascii="Arial" w:hAnsi="Arial" w:cs="Arial"/>
          <w:lang w:val="en-US"/>
        </w:rPr>
        <w:lastRenderedPageBreak/>
        <w:t xml:space="preserve">In this contribution we discuss the potential </w:t>
      </w:r>
      <w:r w:rsidR="003D0123">
        <w:rPr>
          <w:rFonts w:ascii="Arial" w:hAnsi="Arial" w:cs="Arial"/>
          <w:lang w:val="en-US"/>
        </w:rPr>
        <w:t xml:space="preserve">measurements before RLF </w:t>
      </w:r>
      <w:r w:rsidR="00775EE0">
        <w:rPr>
          <w:rFonts w:ascii="Arial" w:hAnsi="Arial" w:cs="Arial"/>
          <w:lang w:val="en-US"/>
        </w:rPr>
        <w:t>for R18 IoT-NTN and have the following proposals</w:t>
      </w:r>
      <w:r w:rsidRPr="00AC3CD2">
        <w:rPr>
          <w:rFonts w:ascii="Arial" w:hAnsi="Arial" w:cs="Arial"/>
          <w:lang w:val="en-US"/>
        </w:rPr>
        <w:t>:</w:t>
      </w:r>
    </w:p>
    <w:p w14:paraId="54608BDE" w14:textId="42BE7FD0" w:rsidR="00775EE0" w:rsidRDefault="00775EE0" w:rsidP="00551638">
      <w:pPr>
        <w:jc w:val="both"/>
        <w:rPr>
          <w:rFonts w:ascii="Arial" w:hAnsi="Arial" w:cs="Arial"/>
          <w:lang w:val="en-US"/>
        </w:rPr>
      </w:pPr>
    </w:p>
    <w:p w14:paraId="213A2B7A" w14:textId="02ECADEE" w:rsidR="003321FF" w:rsidRDefault="003321FF" w:rsidP="00551638">
      <w:pPr>
        <w:jc w:val="both"/>
        <w:rPr>
          <w:rFonts w:ascii="Arial" w:eastAsia="Malgun Gothic" w:hAnsi="Arial" w:cs="Arial"/>
          <w:u w:val="single"/>
          <w:lang w:eastAsia="en-GB"/>
        </w:rPr>
      </w:pPr>
      <w:r w:rsidRPr="00674E02">
        <w:rPr>
          <w:rFonts w:ascii="Arial" w:eastAsia="Malgun Gothic" w:hAnsi="Arial" w:cs="Arial"/>
          <w:u w:val="single"/>
          <w:lang w:eastAsia="en-GB"/>
        </w:rPr>
        <w:t>For quasi-earth fixed cells:</w:t>
      </w:r>
    </w:p>
    <w:p w14:paraId="3551A7C0" w14:textId="77777777" w:rsidR="003321FF" w:rsidRPr="00674E02" w:rsidRDefault="003321FF" w:rsidP="00551638">
      <w:pPr>
        <w:jc w:val="both"/>
        <w:rPr>
          <w:rFonts w:ascii="Arial" w:hAnsi="Arial" w:cs="Arial"/>
          <w:u w:val="single"/>
          <w:lang w:val="en-US"/>
        </w:rPr>
      </w:pPr>
    </w:p>
    <w:p w14:paraId="43965F55" w14:textId="77777777" w:rsidR="0093396F" w:rsidRDefault="0093396F" w:rsidP="0093396F">
      <w:pPr>
        <w:rPr>
          <w:rFonts w:ascii="Arial" w:hAnsi="Arial" w:cs="Arial"/>
          <w:b/>
          <w:bCs/>
        </w:rPr>
      </w:pPr>
      <w:r w:rsidRPr="00691D6D">
        <w:rPr>
          <w:rFonts w:ascii="Arial" w:hAnsi="Arial" w:cs="Arial"/>
          <w:b/>
          <w:bCs/>
        </w:rPr>
        <w:t>Proposal 1</w:t>
      </w:r>
      <w:r>
        <w:rPr>
          <w:rFonts w:ascii="Arial" w:hAnsi="Arial" w:cs="Arial"/>
          <w:b/>
          <w:bCs/>
        </w:rPr>
        <w:t>a</w:t>
      </w:r>
      <w:r w:rsidRPr="00691D6D">
        <w:rPr>
          <w:rFonts w:ascii="Arial" w:hAnsi="Arial" w:cs="Arial"/>
          <w:b/>
          <w:bCs/>
        </w:rPr>
        <w:t>:</w:t>
      </w:r>
      <w:r>
        <w:rPr>
          <w:rFonts w:ascii="Arial" w:hAnsi="Arial" w:cs="Arial"/>
          <w:b/>
          <w:bCs/>
        </w:rPr>
        <w:t xml:space="preserve"> The agreement in RAN2#120 (</w:t>
      </w:r>
      <w:r w:rsidRPr="0093396F">
        <w:rPr>
          <w:rFonts w:ascii="Arial" w:eastAsia="Malgun Gothic" w:hAnsi="Arial" w:cs="Arial"/>
          <w:b/>
          <w:bCs/>
          <w:lang w:eastAsia="en-GB"/>
        </w:rPr>
        <w:t>UE shall start intra/inter frequency measurement in connected mode before the t-Service if present</w:t>
      </w:r>
      <w:r>
        <w:rPr>
          <w:rFonts w:ascii="Arial" w:hAnsi="Arial" w:cs="Arial"/>
          <w:b/>
          <w:bCs/>
        </w:rPr>
        <w:t>) only applies to the case of overlapping coverage.</w:t>
      </w:r>
    </w:p>
    <w:p w14:paraId="66F25FC5" w14:textId="77777777" w:rsidR="0093396F" w:rsidRPr="00AC3CD2" w:rsidRDefault="0093396F" w:rsidP="0093396F">
      <w:pPr>
        <w:rPr>
          <w:rFonts w:ascii="Arial" w:hAnsi="Arial" w:cs="Arial"/>
          <w:b/>
          <w:bCs/>
        </w:rPr>
      </w:pPr>
      <w:r>
        <w:rPr>
          <w:rFonts w:ascii="Arial" w:hAnsi="Arial" w:cs="Arial"/>
          <w:b/>
          <w:bCs/>
        </w:rPr>
        <w:t>Proposal 1b: Measurements of a neighbouring NTN cell are triggered before t-service only if the incoming neighbour cell t-</w:t>
      </w:r>
      <w:proofErr w:type="spellStart"/>
      <w:r>
        <w:rPr>
          <w:rFonts w:ascii="Arial" w:hAnsi="Arial" w:cs="Arial"/>
          <w:b/>
          <w:bCs/>
        </w:rPr>
        <w:t>serviceStart</w:t>
      </w:r>
      <w:proofErr w:type="spellEnd"/>
      <w:r>
        <w:rPr>
          <w:rFonts w:ascii="Arial" w:hAnsi="Arial" w:cs="Arial"/>
          <w:b/>
          <w:bCs/>
        </w:rPr>
        <w:t xml:space="preserve"> is before t-service,</w:t>
      </w:r>
      <w:r w:rsidRPr="00F802F6">
        <w:rPr>
          <w:rFonts w:ascii="Arial" w:hAnsi="Arial" w:cs="Arial"/>
          <w:b/>
          <w:bCs/>
        </w:rPr>
        <w:t xml:space="preserve"> </w:t>
      </w:r>
      <w:r>
        <w:rPr>
          <w:rFonts w:ascii="Arial" w:hAnsi="Arial" w:cs="Arial"/>
          <w:b/>
          <w:bCs/>
        </w:rPr>
        <w:t>or if no t-</w:t>
      </w:r>
      <w:proofErr w:type="spellStart"/>
      <w:r>
        <w:rPr>
          <w:rFonts w:ascii="Arial" w:hAnsi="Arial" w:cs="Arial"/>
          <w:b/>
          <w:bCs/>
        </w:rPr>
        <w:t>serviceStart</w:t>
      </w:r>
      <w:proofErr w:type="spellEnd"/>
      <w:r>
        <w:rPr>
          <w:rFonts w:ascii="Arial" w:hAnsi="Arial" w:cs="Arial"/>
          <w:b/>
          <w:bCs/>
        </w:rPr>
        <w:t xml:space="preserve"> is provided for the neighbour cell.</w:t>
      </w:r>
    </w:p>
    <w:p w14:paraId="7B50E82C" w14:textId="77777777" w:rsidR="0093396F" w:rsidRDefault="0093396F" w:rsidP="0093396F">
      <w:pPr>
        <w:rPr>
          <w:rFonts w:ascii="Arial" w:hAnsi="Arial" w:cs="Arial"/>
        </w:rPr>
      </w:pPr>
    </w:p>
    <w:p w14:paraId="6951E71D" w14:textId="77777777" w:rsidR="0093396F" w:rsidRDefault="0093396F" w:rsidP="0093396F">
      <w:pPr>
        <w:rPr>
          <w:rFonts w:ascii="Arial" w:hAnsi="Arial" w:cs="Arial"/>
          <w:b/>
          <w:bCs/>
        </w:rPr>
      </w:pPr>
      <w:r w:rsidRPr="00E52AA9">
        <w:rPr>
          <w:rFonts w:ascii="Arial" w:hAnsi="Arial" w:cs="Arial"/>
          <w:b/>
          <w:bCs/>
        </w:rPr>
        <w:t>Proposal 2</w:t>
      </w:r>
      <w:r>
        <w:rPr>
          <w:rFonts w:ascii="Arial" w:hAnsi="Arial" w:cs="Arial"/>
          <w:b/>
          <w:bCs/>
        </w:rPr>
        <w:t>a</w:t>
      </w:r>
      <w:r w:rsidRPr="00E52AA9">
        <w:rPr>
          <w:rFonts w:ascii="Arial" w:hAnsi="Arial" w:cs="Arial"/>
          <w:b/>
          <w:bCs/>
        </w:rPr>
        <w:t xml:space="preserve">: Measurements on TN carriers (if configured by the NW) can start before </w:t>
      </w:r>
      <w:r>
        <w:rPr>
          <w:rFonts w:ascii="Arial" w:hAnsi="Arial" w:cs="Arial"/>
          <w:b/>
          <w:bCs/>
        </w:rPr>
        <w:t>t-service</w:t>
      </w:r>
      <w:r w:rsidRPr="00E52AA9">
        <w:rPr>
          <w:rFonts w:ascii="Arial" w:hAnsi="Arial" w:cs="Arial"/>
          <w:b/>
          <w:bCs/>
        </w:rPr>
        <w:t xml:space="preserve"> </w:t>
      </w:r>
      <w:r w:rsidRPr="00D01493">
        <w:rPr>
          <w:rFonts w:ascii="Arial" w:hAnsi="Arial" w:cs="Arial"/>
          <w:b/>
          <w:bCs/>
        </w:rPr>
        <w:t>independently of neighbouring NTN cell coverage</w:t>
      </w:r>
      <w:r w:rsidRPr="00E52AA9">
        <w:rPr>
          <w:rFonts w:ascii="Arial" w:hAnsi="Arial" w:cs="Arial"/>
          <w:b/>
          <w:bCs/>
        </w:rPr>
        <w:t xml:space="preserve">. </w:t>
      </w:r>
    </w:p>
    <w:p w14:paraId="2C26BE55" w14:textId="43EDCD19" w:rsidR="0093396F" w:rsidRDefault="0093396F" w:rsidP="0093396F">
      <w:pPr>
        <w:rPr>
          <w:rFonts w:ascii="Arial" w:hAnsi="Arial" w:cs="Arial"/>
          <w:b/>
          <w:bCs/>
        </w:rPr>
      </w:pPr>
      <w:r>
        <w:rPr>
          <w:rFonts w:ascii="Arial" w:hAnsi="Arial" w:cs="Arial"/>
          <w:b/>
          <w:bCs/>
        </w:rPr>
        <w:t>Proposal 2b: For the hard switch coverage scenario, discuss whether UE should wait until t-Service before starting TN measurements, or whether UE should start TN measurements before t-Service.</w:t>
      </w:r>
      <w:r w:rsidRPr="00E52AA9">
        <w:rPr>
          <w:rFonts w:ascii="Arial" w:hAnsi="Arial" w:cs="Arial"/>
          <w:b/>
          <w:bCs/>
        </w:rPr>
        <w:t xml:space="preserve"> </w:t>
      </w:r>
    </w:p>
    <w:p w14:paraId="14E20782" w14:textId="3E46CE62" w:rsidR="0093396F" w:rsidRDefault="0093396F" w:rsidP="0093396F">
      <w:pPr>
        <w:rPr>
          <w:rFonts w:ascii="Arial" w:hAnsi="Arial" w:cs="Arial"/>
          <w:b/>
          <w:bCs/>
        </w:rPr>
      </w:pPr>
    </w:p>
    <w:p w14:paraId="3D685C5E" w14:textId="5C45F414" w:rsidR="0093396F" w:rsidRPr="00E52AA9" w:rsidRDefault="0093396F" w:rsidP="0093396F">
      <w:pPr>
        <w:rPr>
          <w:rFonts w:ascii="Arial" w:hAnsi="Arial" w:cs="Arial"/>
          <w:b/>
          <w:bCs/>
        </w:rPr>
      </w:pPr>
      <w:r w:rsidRPr="00691D6D">
        <w:rPr>
          <w:rFonts w:ascii="Arial" w:hAnsi="Arial" w:cs="Arial"/>
          <w:b/>
          <w:bCs/>
        </w:rPr>
        <w:t xml:space="preserve">Proposal </w:t>
      </w:r>
      <w:r>
        <w:rPr>
          <w:rFonts w:ascii="Arial" w:hAnsi="Arial" w:cs="Arial"/>
          <w:b/>
          <w:bCs/>
        </w:rPr>
        <w:t>3</w:t>
      </w:r>
      <w:r w:rsidRPr="00691D6D">
        <w:rPr>
          <w:rFonts w:ascii="Arial" w:hAnsi="Arial" w:cs="Arial"/>
          <w:b/>
          <w:bCs/>
        </w:rPr>
        <w:t>:</w:t>
      </w:r>
      <w:r>
        <w:rPr>
          <w:rFonts w:ascii="Arial" w:hAnsi="Arial" w:cs="Arial"/>
          <w:b/>
          <w:bCs/>
        </w:rPr>
        <w:t xml:space="preserve"> If the serving cell t-service expires, stop T310 and start T311 (i.e. perform cell search and re-establishment without attempting to recover on the current cell for the duration of T310). </w:t>
      </w:r>
    </w:p>
    <w:p w14:paraId="45E9B86B" w14:textId="1C1C9A84" w:rsidR="008F4846" w:rsidRDefault="008F4846" w:rsidP="000F02CA">
      <w:pPr>
        <w:pStyle w:val="B4"/>
        <w:ind w:left="0" w:firstLine="0"/>
        <w:rPr>
          <w:rFonts w:ascii="Arial" w:hAnsi="Arial" w:cs="Arial"/>
        </w:rPr>
      </w:pPr>
    </w:p>
    <w:p w14:paraId="106078E5" w14:textId="2135B487" w:rsidR="003321FF" w:rsidRPr="00674E02" w:rsidRDefault="003321FF" w:rsidP="000F02CA">
      <w:pPr>
        <w:pStyle w:val="B4"/>
        <w:ind w:left="0" w:firstLine="0"/>
        <w:rPr>
          <w:rFonts w:ascii="Arial" w:hAnsi="Arial" w:cs="Arial"/>
          <w:u w:val="single"/>
        </w:rPr>
      </w:pPr>
      <w:r w:rsidRPr="00674E02">
        <w:rPr>
          <w:rFonts w:ascii="Arial" w:hAnsi="Arial" w:cs="Arial"/>
          <w:u w:val="single"/>
        </w:rPr>
        <w:t>For earth-moving cells:</w:t>
      </w:r>
    </w:p>
    <w:p w14:paraId="2AFB8D96" w14:textId="77777777" w:rsidR="003321FF" w:rsidRPr="001F2E10" w:rsidRDefault="003321FF" w:rsidP="003321FF">
      <w:pPr>
        <w:rPr>
          <w:rFonts w:ascii="Arial" w:hAnsi="Arial" w:cs="Arial"/>
          <w:b/>
          <w:bCs/>
        </w:rPr>
      </w:pPr>
      <w:r w:rsidRPr="001F2E10">
        <w:rPr>
          <w:rFonts w:ascii="Arial" w:hAnsi="Arial" w:cs="Arial"/>
          <w:b/>
          <w:bCs/>
        </w:rPr>
        <w:t>Proposal 4: Introduce a distance-based trigger for starting neighbour cell measurements before RLF.</w:t>
      </w:r>
    </w:p>
    <w:p w14:paraId="2F48771C" w14:textId="77777777" w:rsidR="003321FF" w:rsidRDefault="003321FF" w:rsidP="003321FF">
      <w:pPr>
        <w:rPr>
          <w:rFonts w:ascii="Arial" w:hAnsi="Arial" w:cs="Arial"/>
          <w:b/>
          <w:bCs/>
        </w:rPr>
      </w:pPr>
    </w:p>
    <w:p w14:paraId="2A1A2586" w14:textId="17F1B8BA" w:rsidR="003321FF" w:rsidRPr="001F2E10" w:rsidRDefault="003321FF" w:rsidP="003321FF">
      <w:pPr>
        <w:rPr>
          <w:rFonts w:ascii="Arial" w:hAnsi="Arial" w:cs="Arial"/>
          <w:b/>
          <w:bCs/>
        </w:rPr>
      </w:pPr>
      <w:r w:rsidRPr="001F2E10">
        <w:rPr>
          <w:rFonts w:ascii="Arial" w:hAnsi="Arial" w:cs="Arial"/>
          <w:b/>
          <w:bCs/>
        </w:rPr>
        <w:t xml:space="preserve">Proposal 5: UE starts measurements on a neighbouring cell </w:t>
      </w:r>
      <w:r w:rsidRPr="00ED5855">
        <w:rPr>
          <w:rFonts w:ascii="Arial" w:hAnsi="Arial" w:cs="Arial"/>
          <w:b/>
          <w:bCs/>
        </w:rPr>
        <w:t>if the distance between the UE and a first reference location (</w:t>
      </w:r>
      <w:proofErr w:type="gramStart"/>
      <w:r w:rsidRPr="00ED5855">
        <w:rPr>
          <w:rFonts w:ascii="Arial" w:hAnsi="Arial" w:cs="Arial"/>
          <w:b/>
          <w:bCs/>
        </w:rPr>
        <w:t>e.g.</w:t>
      </w:r>
      <w:proofErr w:type="gramEnd"/>
      <w:r w:rsidRPr="00ED5855">
        <w:rPr>
          <w:rFonts w:ascii="Arial" w:hAnsi="Arial" w:cs="Arial"/>
          <w:b/>
          <w:bCs/>
        </w:rPr>
        <w:t xml:space="preserve"> within the serving cell) is above a threshold, and the distance between the UE and a second reference location (e.g. within a neighbour cell) is below a threshold</w:t>
      </w:r>
      <w:r w:rsidRPr="001F2E10">
        <w:rPr>
          <w:rFonts w:ascii="Arial" w:hAnsi="Arial" w:cs="Arial"/>
          <w:b/>
          <w:bCs/>
        </w:rPr>
        <w:t>.</w:t>
      </w:r>
    </w:p>
    <w:p w14:paraId="481E59C0" w14:textId="77777777" w:rsidR="003321FF" w:rsidRDefault="003321FF" w:rsidP="003321FF">
      <w:pPr>
        <w:rPr>
          <w:rFonts w:ascii="Arial" w:hAnsi="Arial" w:cs="Arial"/>
        </w:rPr>
      </w:pPr>
    </w:p>
    <w:p w14:paraId="0587177B" w14:textId="77777777" w:rsidR="00B0194D" w:rsidRPr="00ED5855" w:rsidRDefault="00B0194D" w:rsidP="00B0194D">
      <w:pPr>
        <w:rPr>
          <w:rFonts w:ascii="Arial" w:hAnsi="Arial" w:cs="Arial"/>
          <w:b/>
          <w:bCs/>
        </w:rPr>
      </w:pPr>
      <w:r w:rsidRPr="001F2E10">
        <w:rPr>
          <w:rFonts w:ascii="Arial" w:hAnsi="Arial" w:cs="Arial"/>
          <w:b/>
          <w:bCs/>
        </w:rPr>
        <w:t xml:space="preserve">Proposal 6: If the distance between the UE and </w:t>
      </w:r>
      <w:r>
        <w:rPr>
          <w:rFonts w:ascii="Arial" w:hAnsi="Arial" w:cs="Arial"/>
          <w:b/>
          <w:bCs/>
        </w:rPr>
        <w:t>the first</w:t>
      </w:r>
      <w:r w:rsidRPr="001F2E10">
        <w:rPr>
          <w:rFonts w:ascii="Arial" w:hAnsi="Arial" w:cs="Arial"/>
          <w:b/>
          <w:bCs/>
        </w:rPr>
        <w:t xml:space="preserve"> reference location (</w:t>
      </w:r>
      <w:proofErr w:type="gramStart"/>
      <w:r w:rsidRPr="001F2E10">
        <w:rPr>
          <w:rFonts w:ascii="Arial" w:hAnsi="Arial" w:cs="Arial"/>
          <w:b/>
          <w:bCs/>
        </w:rPr>
        <w:t>e.g.</w:t>
      </w:r>
      <w:proofErr w:type="gramEnd"/>
      <w:r w:rsidRPr="001F2E10">
        <w:rPr>
          <w:rFonts w:ascii="Arial" w:hAnsi="Arial" w:cs="Arial"/>
          <w:b/>
          <w:bCs/>
        </w:rPr>
        <w:t xml:space="preserve"> within the serving cell) is above a threshold</w:t>
      </w:r>
      <w:r>
        <w:rPr>
          <w:rFonts w:ascii="Arial" w:hAnsi="Arial" w:cs="Arial"/>
          <w:b/>
          <w:bCs/>
        </w:rPr>
        <w:t xml:space="preserve"> (different threshold than is used for measurements), </w:t>
      </w:r>
      <w:r w:rsidRPr="00ED5855">
        <w:rPr>
          <w:rFonts w:ascii="Arial" w:hAnsi="Arial" w:cs="Arial"/>
          <w:b/>
          <w:bCs/>
        </w:rPr>
        <w:t xml:space="preserve">stop T310 and start T311 (i.e. perform cell search and re-establishment without attempting to recover on the current cell for the duration of T310). </w:t>
      </w:r>
    </w:p>
    <w:p w14:paraId="483817F3" w14:textId="13BD0BFB" w:rsidR="003321FF" w:rsidRDefault="003321FF" w:rsidP="000F02CA">
      <w:pPr>
        <w:pStyle w:val="B4"/>
        <w:ind w:left="0" w:firstLine="0"/>
        <w:rPr>
          <w:rFonts w:ascii="Arial" w:hAnsi="Arial" w:cs="Arial"/>
        </w:rPr>
      </w:pPr>
    </w:p>
    <w:p w14:paraId="56815A86" w14:textId="4A4C82A8" w:rsidR="005949BF" w:rsidRPr="00C36D19" w:rsidRDefault="005949BF" w:rsidP="000F02CA">
      <w:pPr>
        <w:pStyle w:val="B4"/>
        <w:ind w:left="0" w:firstLine="0"/>
        <w:rPr>
          <w:rFonts w:ascii="Arial" w:hAnsi="Arial" w:cs="Arial"/>
          <w:u w:val="single"/>
        </w:rPr>
      </w:pPr>
      <w:r w:rsidRPr="00C36D19">
        <w:rPr>
          <w:rFonts w:ascii="Arial" w:hAnsi="Arial" w:cs="Arial"/>
          <w:u w:val="single"/>
        </w:rPr>
        <w:t>For conditional reconfiguration:</w:t>
      </w:r>
    </w:p>
    <w:p w14:paraId="4BB23201" w14:textId="77777777" w:rsidR="005949BF" w:rsidRPr="00B90BD9" w:rsidRDefault="005949BF" w:rsidP="005949BF">
      <w:pPr>
        <w:rPr>
          <w:rFonts w:ascii="Arial" w:hAnsi="Arial" w:cs="Arial"/>
          <w:b/>
          <w:bCs/>
        </w:rPr>
      </w:pPr>
      <w:r w:rsidRPr="00795E51">
        <w:rPr>
          <w:rFonts w:ascii="Arial" w:hAnsi="Arial" w:cs="Arial"/>
          <w:b/>
          <w:bCs/>
        </w:rPr>
        <w:t xml:space="preserve">Proposal 7: For </w:t>
      </w:r>
      <w:proofErr w:type="spellStart"/>
      <w:r w:rsidRPr="00795E51">
        <w:rPr>
          <w:rFonts w:ascii="Arial" w:hAnsi="Arial" w:cs="Arial"/>
          <w:b/>
          <w:bCs/>
        </w:rPr>
        <w:t>eMTC</w:t>
      </w:r>
      <w:proofErr w:type="spellEnd"/>
      <w:r w:rsidRPr="00795E51">
        <w:rPr>
          <w:rFonts w:ascii="Arial" w:hAnsi="Arial" w:cs="Arial"/>
          <w:b/>
          <w:bCs/>
        </w:rPr>
        <w:t xml:space="preserve"> NTN, </w:t>
      </w:r>
      <w:r>
        <w:rPr>
          <w:rFonts w:ascii="Arial" w:hAnsi="Arial" w:cs="Arial"/>
          <w:b/>
          <w:bCs/>
        </w:rPr>
        <w:t>clarify that the</w:t>
      </w:r>
      <w:r w:rsidRPr="00795E51">
        <w:rPr>
          <w:rFonts w:ascii="Arial" w:hAnsi="Arial" w:cs="Arial"/>
          <w:b/>
          <w:bCs/>
        </w:rPr>
        <w:t xml:space="preserve"> </w:t>
      </w:r>
      <w:r>
        <w:rPr>
          <w:rFonts w:ascii="Arial" w:hAnsi="Arial" w:cs="Arial"/>
          <w:b/>
          <w:bCs/>
        </w:rPr>
        <w:t xml:space="preserve">agreed </w:t>
      </w:r>
      <w:r w:rsidRPr="00795E51">
        <w:rPr>
          <w:rFonts w:ascii="Arial" w:hAnsi="Arial" w:cs="Arial"/>
          <w:b/>
          <w:bCs/>
        </w:rPr>
        <w:t xml:space="preserve">time-based conditional reconfiguration trigger </w:t>
      </w:r>
      <w:r>
        <w:rPr>
          <w:rFonts w:ascii="Arial" w:hAnsi="Arial" w:cs="Arial"/>
          <w:b/>
          <w:bCs/>
        </w:rPr>
        <w:t xml:space="preserve">is </w:t>
      </w:r>
      <w:r w:rsidRPr="00795E51">
        <w:rPr>
          <w:rFonts w:ascii="Arial" w:hAnsi="Arial" w:cs="Arial"/>
          <w:b/>
          <w:bCs/>
        </w:rPr>
        <w:t>based on condEventT1 in NR, where the event will be satisfied if conditional handover execution occurs between T1 and T2, where T2 = T1 + a duration (</w:t>
      </w:r>
      <w:proofErr w:type="gramStart"/>
      <w:r w:rsidRPr="00795E51">
        <w:rPr>
          <w:rFonts w:ascii="Arial" w:hAnsi="Arial" w:cs="Arial"/>
          <w:b/>
          <w:bCs/>
        </w:rPr>
        <w:t>similar to</w:t>
      </w:r>
      <w:proofErr w:type="gramEnd"/>
      <w:r w:rsidRPr="00795E51">
        <w:rPr>
          <w:rFonts w:ascii="Arial" w:hAnsi="Arial" w:cs="Arial"/>
          <w:b/>
          <w:bCs/>
        </w:rPr>
        <w:t xml:space="preserve"> condEventT1 in NR)</w:t>
      </w:r>
    </w:p>
    <w:p w14:paraId="7CD933BF" w14:textId="77777777" w:rsidR="005949BF" w:rsidRDefault="005949BF" w:rsidP="005949BF">
      <w:pPr>
        <w:rPr>
          <w:rFonts w:ascii="Arial" w:hAnsi="Arial" w:cs="Arial"/>
        </w:rPr>
      </w:pPr>
    </w:p>
    <w:p w14:paraId="76C20203" w14:textId="77777777" w:rsidR="005949BF" w:rsidRPr="008E6000" w:rsidRDefault="005949BF" w:rsidP="005949BF">
      <w:pPr>
        <w:rPr>
          <w:rFonts w:ascii="Arial" w:hAnsi="Arial" w:cs="Arial"/>
          <w:b/>
          <w:bCs/>
        </w:rPr>
      </w:pPr>
      <w:r w:rsidRPr="008E6000">
        <w:rPr>
          <w:rFonts w:ascii="Arial" w:hAnsi="Arial" w:cs="Arial"/>
          <w:b/>
          <w:bCs/>
        </w:rPr>
        <w:t xml:space="preserve">Proposal </w:t>
      </w:r>
      <w:r>
        <w:rPr>
          <w:rFonts w:ascii="Arial" w:hAnsi="Arial" w:cs="Arial"/>
          <w:b/>
          <w:bCs/>
        </w:rPr>
        <w:t>8</w:t>
      </w:r>
      <w:r w:rsidRPr="008E6000">
        <w:rPr>
          <w:rFonts w:ascii="Arial" w:hAnsi="Arial" w:cs="Arial"/>
          <w:b/>
          <w:bCs/>
        </w:rPr>
        <w:t>: Time and location</w:t>
      </w:r>
      <w:r>
        <w:rPr>
          <w:rFonts w:ascii="Arial" w:hAnsi="Arial" w:cs="Arial"/>
          <w:b/>
          <w:bCs/>
        </w:rPr>
        <w:t>-</w:t>
      </w:r>
      <w:r w:rsidRPr="008E6000">
        <w:rPr>
          <w:rFonts w:ascii="Arial" w:hAnsi="Arial" w:cs="Arial"/>
          <w:b/>
          <w:bCs/>
        </w:rPr>
        <w:t>based trigger conditions may be configured independently</w:t>
      </w:r>
      <w:r>
        <w:rPr>
          <w:rFonts w:ascii="Arial" w:hAnsi="Arial" w:cs="Arial"/>
          <w:b/>
          <w:bCs/>
        </w:rPr>
        <w:t xml:space="preserve"> (i.e., without a jointly configured measurement condition)</w:t>
      </w:r>
      <w:r w:rsidRPr="008E6000">
        <w:rPr>
          <w:rFonts w:ascii="Arial" w:hAnsi="Arial" w:cs="Arial"/>
          <w:b/>
          <w:bCs/>
        </w:rPr>
        <w:t xml:space="preserve"> for </w:t>
      </w:r>
      <w:proofErr w:type="spellStart"/>
      <w:r w:rsidRPr="008E6000">
        <w:rPr>
          <w:rFonts w:ascii="Arial" w:hAnsi="Arial" w:cs="Arial"/>
          <w:b/>
          <w:bCs/>
        </w:rPr>
        <w:t>eMTC</w:t>
      </w:r>
      <w:proofErr w:type="spellEnd"/>
      <w:r w:rsidRPr="008E6000">
        <w:rPr>
          <w:rFonts w:ascii="Arial" w:hAnsi="Arial" w:cs="Arial"/>
          <w:b/>
          <w:bCs/>
        </w:rPr>
        <w:t xml:space="preserve"> NTN.</w:t>
      </w:r>
    </w:p>
    <w:p w14:paraId="743D3D45" w14:textId="77777777" w:rsidR="005949BF" w:rsidRPr="00AC3CD2" w:rsidRDefault="005949BF" w:rsidP="000F02CA">
      <w:pPr>
        <w:pStyle w:val="B4"/>
        <w:ind w:left="0" w:firstLine="0"/>
        <w:rPr>
          <w:rFonts w:ascii="Arial" w:hAnsi="Arial" w:cs="Arial"/>
        </w:rPr>
      </w:pPr>
    </w:p>
    <w:p w14:paraId="43E428F1" w14:textId="77777777" w:rsidR="00E06B61" w:rsidRPr="00AC3CD2" w:rsidRDefault="00E06B61" w:rsidP="00EA5314">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References</w:t>
      </w:r>
    </w:p>
    <w:bookmarkStart w:id="0" w:name="_Ref110867306"/>
    <w:p w14:paraId="3B018D6C" w14:textId="00B75619" w:rsidR="00D205BC" w:rsidRPr="00AA311D" w:rsidRDefault="005924EE" w:rsidP="00D205BC">
      <w:pPr>
        <w:pStyle w:val="Reference"/>
        <w:numPr>
          <w:ilvl w:val="0"/>
          <w:numId w:val="12"/>
        </w:numPr>
        <w:overflowPunct w:val="0"/>
        <w:autoSpaceDE w:val="0"/>
        <w:autoSpaceDN w:val="0"/>
        <w:adjustRightInd w:val="0"/>
        <w:jc w:val="both"/>
        <w:textAlignment w:val="baseline"/>
        <w:rPr>
          <w:rFonts w:ascii="Arial" w:eastAsia="Arial Unicode MS" w:hAnsi="Arial" w:cs="Arial"/>
        </w:rPr>
      </w:pPr>
      <w:r>
        <w:rPr>
          <w:rFonts w:ascii="Arial" w:hAnsi="Arial" w:cs="Arial"/>
        </w:rPr>
        <w:fldChar w:fldCharType="begin"/>
      </w:r>
      <w:r>
        <w:rPr>
          <w:rFonts w:ascii="Arial" w:hAnsi="Arial" w:cs="Arial"/>
        </w:rPr>
        <w:instrText>HYPERLINK "https://www.3gpp.org/ftp/TSG_RAN/TSG_RAN/TSGR_98e/Docs/RP-223519.zip"</w:instrText>
      </w:r>
      <w:r>
        <w:rPr>
          <w:rFonts w:ascii="Arial" w:hAnsi="Arial" w:cs="Arial"/>
        </w:rPr>
      </w:r>
      <w:r>
        <w:rPr>
          <w:rFonts w:ascii="Arial" w:hAnsi="Arial" w:cs="Arial"/>
        </w:rPr>
        <w:fldChar w:fldCharType="separate"/>
      </w:r>
      <w:r>
        <w:rPr>
          <w:rStyle w:val="Hyperlink"/>
          <w:rFonts w:ascii="Arial" w:hAnsi="Arial" w:cs="Arial"/>
        </w:rPr>
        <w:t>RP-223519</w:t>
      </w:r>
      <w:r>
        <w:rPr>
          <w:rFonts w:ascii="Arial" w:hAnsi="Arial" w:cs="Arial"/>
        </w:rPr>
        <w:fldChar w:fldCharType="end"/>
      </w:r>
      <w:r w:rsidR="003F50DD" w:rsidRPr="00AC3CD2">
        <w:rPr>
          <w:rFonts w:ascii="Arial" w:hAnsi="Arial" w:cs="Arial"/>
        </w:rPr>
        <w:t xml:space="preserve">,  </w:t>
      </w:r>
      <w:r w:rsidR="00A35B0F" w:rsidRPr="00AC3CD2">
        <w:rPr>
          <w:rFonts w:ascii="Arial" w:hAnsi="Arial" w:cs="Arial"/>
        </w:rPr>
        <w:t>“</w:t>
      </w:r>
      <w:r w:rsidR="003D5E8E" w:rsidRPr="00AC3CD2">
        <w:rPr>
          <w:rFonts w:ascii="Arial" w:hAnsi="Arial" w:cs="Arial"/>
        </w:rPr>
        <w:t>Revised WID on IoT NTN enhancements</w:t>
      </w:r>
      <w:r w:rsidR="00A35B0F" w:rsidRPr="00AC3CD2">
        <w:rPr>
          <w:rFonts w:ascii="Arial" w:hAnsi="Arial" w:cs="Arial"/>
        </w:rPr>
        <w:t>”</w:t>
      </w:r>
      <w:bookmarkEnd w:id="0"/>
    </w:p>
    <w:bookmarkStart w:id="1" w:name="_Ref118350373"/>
    <w:p w14:paraId="6C56C000" w14:textId="1870D424" w:rsidR="00F802F6" w:rsidRPr="00AA311D" w:rsidRDefault="00F802F6" w:rsidP="00F802F6">
      <w:pPr>
        <w:pStyle w:val="Doc-title"/>
        <w:numPr>
          <w:ilvl w:val="0"/>
          <w:numId w:val="12"/>
        </w:numPr>
        <w:rPr>
          <w:rFonts w:ascii="Arial" w:hAnsi="Arial" w:cs="Arial"/>
        </w:rPr>
      </w:pPr>
      <w:r w:rsidRPr="00AA311D">
        <w:fldChar w:fldCharType="begin"/>
      </w:r>
      <w:r w:rsidRPr="00AA311D">
        <w:rPr>
          <w:rFonts w:ascii="Arial" w:hAnsi="Arial" w:cs="Arial"/>
        </w:rPr>
        <w:instrText>HYPERLINK "https://www.3gpp.org/ftp/tsg_ran/WG2_RL2/TSGR2_119bis-e/Docs/R2-2210861.zip" \o "C:Data3GPPRAN2InboxR2-2210861.zip"</w:instrText>
      </w:r>
      <w:r w:rsidRPr="00AA311D">
        <w:fldChar w:fldCharType="separate"/>
      </w:r>
      <w:r w:rsidRPr="00AA311D">
        <w:rPr>
          <w:rStyle w:val="Hyperlink"/>
          <w:rFonts w:ascii="Arial" w:hAnsi="Arial" w:cs="Arial"/>
        </w:rPr>
        <w:t>R2-2210861</w:t>
      </w:r>
      <w:r w:rsidRPr="00AA311D">
        <w:rPr>
          <w:rStyle w:val="Hyperlink"/>
          <w:rFonts w:ascii="Arial" w:hAnsi="Arial" w:cs="Arial"/>
        </w:rPr>
        <w:fldChar w:fldCharType="end"/>
      </w:r>
      <w:r>
        <w:rPr>
          <w:rStyle w:val="Hyperlink"/>
          <w:rFonts w:ascii="Arial" w:hAnsi="Arial" w:cs="Arial"/>
        </w:rPr>
        <w:t>,</w:t>
      </w:r>
      <w:r w:rsidRPr="00AA311D">
        <w:rPr>
          <w:rFonts w:ascii="Arial" w:hAnsi="Arial" w:cs="Arial"/>
        </w:rPr>
        <w:tab/>
      </w:r>
      <w:r>
        <w:rPr>
          <w:rFonts w:ascii="Arial" w:hAnsi="Arial" w:cs="Arial"/>
        </w:rPr>
        <w:t>“</w:t>
      </w:r>
      <w:r w:rsidRPr="00AA311D">
        <w:rPr>
          <w:rFonts w:ascii="Arial" w:hAnsi="Arial" w:cs="Arial"/>
        </w:rPr>
        <w:t>[offline-118] Mobility enhancements</w:t>
      </w:r>
      <w:r>
        <w:rPr>
          <w:rFonts w:ascii="Arial" w:hAnsi="Arial" w:cs="Arial"/>
        </w:rPr>
        <w:t>”, ZTE</w:t>
      </w:r>
      <w:bookmarkEnd w:id="1"/>
    </w:p>
    <w:p w14:paraId="22AAA021" w14:textId="77777777" w:rsidR="00F802F6" w:rsidRPr="00AC3CD2" w:rsidRDefault="00F802F6" w:rsidP="00AA311D">
      <w:pPr>
        <w:pStyle w:val="Reference"/>
        <w:numPr>
          <w:ilvl w:val="0"/>
          <w:numId w:val="0"/>
        </w:numPr>
        <w:overflowPunct w:val="0"/>
        <w:autoSpaceDE w:val="0"/>
        <w:autoSpaceDN w:val="0"/>
        <w:adjustRightInd w:val="0"/>
        <w:ind w:left="720"/>
        <w:jc w:val="both"/>
        <w:textAlignment w:val="baseline"/>
        <w:rPr>
          <w:rFonts w:ascii="Arial" w:eastAsia="Arial Unicode MS" w:hAnsi="Arial" w:cs="Arial"/>
        </w:rPr>
      </w:pPr>
    </w:p>
    <w:p w14:paraId="3F35E67D" w14:textId="77777777" w:rsidR="00E06B61" w:rsidRPr="00AC3CD2"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AC3CD2" w:rsidRDefault="00886B68" w:rsidP="00E06B61">
      <w:pPr>
        <w:rPr>
          <w:rFonts w:ascii="Arial" w:hAnsi="Arial" w:cs="Arial"/>
        </w:rPr>
      </w:pPr>
    </w:p>
    <w:sectPr w:rsidR="00886B68" w:rsidRPr="00AC3CD2"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20151F"/>
    <w:multiLevelType w:val="multilevel"/>
    <w:tmpl w:val="3A66C4D0"/>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04E2906"/>
    <w:multiLevelType w:val="hybridMultilevel"/>
    <w:tmpl w:val="1F9C1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64952"/>
    <w:multiLevelType w:val="hybridMultilevel"/>
    <w:tmpl w:val="164EF2A0"/>
    <w:lvl w:ilvl="0" w:tplc="16EA684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917BB3"/>
    <w:multiLevelType w:val="hybridMultilevel"/>
    <w:tmpl w:val="87E4C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61371E0"/>
    <w:multiLevelType w:val="hybridMultilevel"/>
    <w:tmpl w:val="BACE1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4D3389D"/>
    <w:multiLevelType w:val="hybridMultilevel"/>
    <w:tmpl w:val="FC643EFC"/>
    <w:lvl w:ilvl="0" w:tplc="7340DB0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8046527">
    <w:abstractNumId w:val="28"/>
  </w:num>
  <w:num w:numId="2" w16cid:durableId="1822573651">
    <w:abstractNumId w:val="8"/>
  </w:num>
  <w:num w:numId="3" w16cid:durableId="1293515717">
    <w:abstractNumId w:val="6"/>
  </w:num>
  <w:num w:numId="4" w16cid:durableId="1859391698">
    <w:abstractNumId w:val="21"/>
  </w:num>
  <w:num w:numId="5" w16cid:durableId="642084593">
    <w:abstractNumId w:val="0"/>
  </w:num>
  <w:num w:numId="6" w16cid:durableId="224075879">
    <w:abstractNumId w:val="0"/>
  </w:num>
  <w:num w:numId="7" w16cid:durableId="1432315274">
    <w:abstractNumId w:val="22"/>
  </w:num>
  <w:num w:numId="8" w16cid:durableId="550461415">
    <w:abstractNumId w:val="13"/>
  </w:num>
  <w:num w:numId="9" w16cid:durableId="2113240567">
    <w:abstractNumId w:val="21"/>
  </w:num>
  <w:num w:numId="10" w16cid:durableId="319046138">
    <w:abstractNumId w:val="27"/>
  </w:num>
  <w:num w:numId="11" w16cid:durableId="989089676">
    <w:abstractNumId w:val="18"/>
  </w:num>
  <w:num w:numId="12" w16cid:durableId="3017690">
    <w:abstractNumId w:val="4"/>
  </w:num>
  <w:num w:numId="13" w16cid:durableId="1136416161">
    <w:abstractNumId w:val="7"/>
  </w:num>
  <w:num w:numId="14" w16cid:durableId="1598631832">
    <w:abstractNumId w:val="5"/>
  </w:num>
  <w:num w:numId="15" w16cid:durableId="1873760530">
    <w:abstractNumId w:val="12"/>
  </w:num>
  <w:num w:numId="16" w16cid:durableId="1043483843">
    <w:abstractNumId w:val="3"/>
  </w:num>
  <w:num w:numId="17" w16cid:durableId="2081756601">
    <w:abstractNumId w:val="20"/>
  </w:num>
  <w:num w:numId="18" w16cid:durableId="405349453">
    <w:abstractNumId w:val="1"/>
  </w:num>
  <w:num w:numId="19" w16cid:durableId="1503083248">
    <w:abstractNumId w:val="25"/>
  </w:num>
  <w:num w:numId="20" w16cid:durableId="1899658392">
    <w:abstractNumId w:val="24"/>
  </w:num>
  <w:num w:numId="21" w16cid:durableId="880744961">
    <w:abstractNumId w:val="14"/>
  </w:num>
  <w:num w:numId="22" w16cid:durableId="1932346878">
    <w:abstractNumId w:val="11"/>
  </w:num>
  <w:num w:numId="23" w16cid:durableId="1922060479">
    <w:abstractNumId w:val="16"/>
  </w:num>
  <w:num w:numId="24" w16cid:durableId="695473169">
    <w:abstractNumId w:val="29"/>
  </w:num>
  <w:num w:numId="25" w16cid:durableId="1334406846">
    <w:abstractNumId w:val="2"/>
  </w:num>
  <w:num w:numId="26" w16cid:durableId="2089959535">
    <w:abstractNumId w:val="10"/>
  </w:num>
  <w:num w:numId="27" w16cid:durableId="665208204">
    <w:abstractNumId w:val="15"/>
  </w:num>
  <w:num w:numId="28" w16cid:durableId="1713311196">
    <w:abstractNumId w:val="23"/>
  </w:num>
  <w:num w:numId="29" w16cid:durableId="68775690">
    <w:abstractNumId w:val="9"/>
  </w:num>
  <w:num w:numId="30" w16cid:durableId="1036614217">
    <w:abstractNumId w:val="17"/>
  </w:num>
  <w:num w:numId="31" w16cid:durableId="276762328">
    <w:abstractNumId w:val="26"/>
  </w:num>
  <w:num w:numId="32" w16cid:durableId="13739672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2"/>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2F92"/>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549F7"/>
    <w:rsid w:val="00065E19"/>
    <w:rsid w:val="00066ACC"/>
    <w:rsid w:val="0006781B"/>
    <w:rsid w:val="00071278"/>
    <w:rsid w:val="000746E2"/>
    <w:rsid w:val="000768DF"/>
    <w:rsid w:val="000770C6"/>
    <w:rsid w:val="000778B1"/>
    <w:rsid w:val="0008007A"/>
    <w:rsid w:val="00084E00"/>
    <w:rsid w:val="000912CC"/>
    <w:rsid w:val="00091528"/>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16FD"/>
    <w:rsid w:val="000C1CEB"/>
    <w:rsid w:val="000C2824"/>
    <w:rsid w:val="000C3A07"/>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2A63"/>
    <w:rsid w:val="000F52F1"/>
    <w:rsid w:val="0010261C"/>
    <w:rsid w:val="0011068A"/>
    <w:rsid w:val="001123B7"/>
    <w:rsid w:val="00114B5E"/>
    <w:rsid w:val="001157D4"/>
    <w:rsid w:val="00116140"/>
    <w:rsid w:val="00121A61"/>
    <w:rsid w:val="00121AA8"/>
    <w:rsid w:val="001229EA"/>
    <w:rsid w:val="00122B31"/>
    <w:rsid w:val="00122FB9"/>
    <w:rsid w:val="00124048"/>
    <w:rsid w:val="00127A40"/>
    <w:rsid w:val="00127CBE"/>
    <w:rsid w:val="00127F11"/>
    <w:rsid w:val="00131547"/>
    <w:rsid w:val="001315D4"/>
    <w:rsid w:val="00133740"/>
    <w:rsid w:val="00135911"/>
    <w:rsid w:val="001379CF"/>
    <w:rsid w:val="00143627"/>
    <w:rsid w:val="00144DBC"/>
    <w:rsid w:val="00144DBF"/>
    <w:rsid w:val="00144FE3"/>
    <w:rsid w:val="00145B33"/>
    <w:rsid w:val="001465E4"/>
    <w:rsid w:val="00152D09"/>
    <w:rsid w:val="001545F4"/>
    <w:rsid w:val="00154C94"/>
    <w:rsid w:val="00155174"/>
    <w:rsid w:val="0015737B"/>
    <w:rsid w:val="001577E8"/>
    <w:rsid w:val="00157C4F"/>
    <w:rsid w:val="00160038"/>
    <w:rsid w:val="001658C9"/>
    <w:rsid w:val="00167978"/>
    <w:rsid w:val="00171C3F"/>
    <w:rsid w:val="00172C95"/>
    <w:rsid w:val="00173756"/>
    <w:rsid w:val="00173DF4"/>
    <w:rsid w:val="0017474C"/>
    <w:rsid w:val="00176101"/>
    <w:rsid w:val="001818A5"/>
    <w:rsid w:val="00182416"/>
    <w:rsid w:val="00183A09"/>
    <w:rsid w:val="00184048"/>
    <w:rsid w:val="001859DA"/>
    <w:rsid w:val="00186469"/>
    <w:rsid w:val="00186931"/>
    <w:rsid w:val="00186A83"/>
    <w:rsid w:val="00186D36"/>
    <w:rsid w:val="00190637"/>
    <w:rsid w:val="00191087"/>
    <w:rsid w:val="0019388B"/>
    <w:rsid w:val="0019667B"/>
    <w:rsid w:val="00196E33"/>
    <w:rsid w:val="00197B9A"/>
    <w:rsid w:val="001A074E"/>
    <w:rsid w:val="001A12FE"/>
    <w:rsid w:val="001A1EE3"/>
    <w:rsid w:val="001A3197"/>
    <w:rsid w:val="001A4B92"/>
    <w:rsid w:val="001B35CF"/>
    <w:rsid w:val="001B56B4"/>
    <w:rsid w:val="001B7267"/>
    <w:rsid w:val="001C09B3"/>
    <w:rsid w:val="001C0B81"/>
    <w:rsid w:val="001C1B2E"/>
    <w:rsid w:val="001C2F46"/>
    <w:rsid w:val="001C6C22"/>
    <w:rsid w:val="001C7317"/>
    <w:rsid w:val="001C78C6"/>
    <w:rsid w:val="001C7C26"/>
    <w:rsid w:val="001D4480"/>
    <w:rsid w:val="001D55C2"/>
    <w:rsid w:val="001D7716"/>
    <w:rsid w:val="001D7D4B"/>
    <w:rsid w:val="001E1CAD"/>
    <w:rsid w:val="001F34C0"/>
    <w:rsid w:val="001F5EAA"/>
    <w:rsid w:val="00201FC1"/>
    <w:rsid w:val="0020218F"/>
    <w:rsid w:val="0020337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6EC5"/>
    <w:rsid w:val="00237F46"/>
    <w:rsid w:val="00240EAC"/>
    <w:rsid w:val="00241AAA"/>
    <w:rsid w:val="0024222F"/>
    <w:rsid w:val="00243468"/>
    <w:rsid w:val="0024389F"/>
    <w:rsid w:val="00244B34"/>
    <w:rsid w:val="00244BE7"/>
    <w:rsid w:val="00245432"/>
    <w:rsid w:val="00246401"/>
    <w:rsid w:val="00246E4A"/>
    <w:rsid w:val="002479FA"/>
    <w:rsid w:val="00252264"/>
    <w:rsid w:val="00252505"/>
    <w:rsid w:val="00252A93"/>
    <w:rsid w:val="00252FED"/>
    <w:rsid w:val="002541B0"/>
    <w:rsid w:val="0025604F"/>
    <w:rsid w:val="00257082"/>
    <w:rsid w:val="002614E5"/>
    <w:rsid w:val="0026269B"/>
    <w:rsid w:val="00263ED9"/>
    <w:rsid w:val="002646FB"/>
    <w:rsid w:val="002715AB"/>
    <w:rsid w:val="0027350B"/>
    <w:rsid w:val="002735BB"/>
    <w:rsid w:val="00273DA6"/>
    <w:rsid w:val="00275847"/>
    <w:rsid w:val="00277F60"/>
    <w:rsid w:val="002823B3"/>
    <w:rsid w:val="00283438"/>
    <w:rsid w:val="002847FF"/>
    <w:rsid w:val="00284AB7"/>
    <w:rsid w:val="0028512B"/>
    <w:rsid w:val="00285A68"/>
    <w:rsid w:val="002861D6"/>
    <w:rsid w:val="00286AEC"/>
    <w:rsid w:val="00286C57"/>
    <w:rsid w:val="002876D4"/>
    <w:rsid w:val="00290A8D"/>
    <w:rsid w:val="00290D3D"/>
    <w:rsid w:val="00293467"/>
    <w:rsid w:val="00295EB6"/>
    <w:rsid w:val="0029699C"/>
    <w:rsid w:val="002A1775"/>
    <w:rsid w:val="002A1CF9"/>
    <w:rsid w:val="002A21E5"/>
    <w:rsid w:val="002A552E"/>
    <w:rsid w:val="002A602E"/>
    <w:rsid w:val="002B1870"/>
    <w:rsid w:val="002B4ABB"/>
    <w:rsid w:val="002B627A"/>
    <w:rsid w:val="002B644C"/>
    <w:rsid w:val="002B717C"/>
    <w:rsid w:val="002C1BC0"/>
    <w:rsid w:val="002C3012"/>
    <w:rsid w:val="002C3BED"/>
    <w:rsid w:val="002C48AF"/>
    <w:rsid w:val="002C4DCF"/>
    <w:rsid w:val="002D0E31"/>
    <w:rsid w:val="002D2783"/>
    <w:rsid w:val="002D53D0"/>
    <w:rsid w:val="002D55EE"/>
    <w:rsid w:val="002D5B0B"/>
    <w:rsid w:val="002D7553"/>
    <w:rsid w:val="002D7D5D"/>
    <w:rsid w:val="002E0048"/>
    <w:rsid w:val="002E1978"/>
    <w:rsid w:val="002E3BFD"/>
    <w:rsid w:val="002F0ABF"/>
    <w:rsid w:val="002F3C3E"/>
    <w:rsid w:val="002F42FF"/>
    <w:rsid w:val="002F4672"/>
    <w:rsid w:val="002F4D26"/>
    <w:rsid w:val="002F7FE1"/>
    <w:rsid w:val="0030072A"/>
    <w:rsid w:val="00301CD4"/>
    <w:rsid w:val="0030215B"/>
    <w:rsid w:val="003030AF"/>
    <w:rsid w:val="003045E4"/>
    <w:rsid w:val="003046A5"/>
    <w:rsid w:val="0030478A"/>
    <w:rsid w:val="00304A1C"/>
    <w:rsid w:val="00305C14"/>
    <w:rsid w:val="00311919"/>
    <w:rsid w:val="00312181"/>
    <w:rsid w:val="00314BBE"/>
    <w:rsid w:val="0031580A"/>
    <w:rsid w:val="00317306"/>
    <w:rsid w:val="0032326C"/>
    <w:rsid w:val="003242EF"/>
    <w:rsid w:val="003264A8"/>
    <w:rsid w:val="00326E47"/>
    <w:rsid w:val="00326E5E"/>
    <w:rsid w:val="003272DC"/>
    <w:rsid w:val="00330825"/>
    <w:rsid w:val="003321FF"/>
    <w:rsid w:val="003348AD"/>
    <w:rsid w:val="003349E9"/>
    <w:rsid w:val="00340B62"/>
    <w:rsid w:val="00340CC3"/>
    <w:rsid w:val="00340F1E"/>
    <w:rsid w:val="003434BE"/>
    <w:rsid w:val="00343BA2"/>
    <w:rsid w:val="00351FA8"/>
    <w:rsid w:val="00352217"/>
    <w:rsid w:val="00352232"/>
    <w:rsid w:val="003534E4"/>
    <w:rsid w:val="003562DD"/>
    <w:rsid w:val="00357BA9"/>
    <w:rsid w:val="00360542"/>
    <w:rsid w:val="003616EE"/>
    <w:rsid w:val="003660A4"/>
    <w:rsid w:val="00366302"/>
    <w:rsid w:val="003670EC"/>
    <w:rsid w:val="00373E7B"/>
    <w:rsid w:val="00377064"/>
    <w:rsid w:val="0037776C"/>
    <w:rsid w:val="00377A6E"/>
    <w:rsid w:val="003842A0"/>
    <w:rsid w:val="0038603C"/>
    <w:rsid w:val="00386178"/>
    <w:rsid w:val="00387CC3"/>
    <w:rsid w:val="00387E49"/>
    <w:rsid w:val="00387EF6"/>
    <w:rsid w:val="00392CCB"/>
    <w:rsid w:val="00392F7C"/>
    <w:rsid w:val="003937BA"/>
    <w:rsid w:val="0039482C"/>
    <w:rsid w:val="0039544C"/>
    <w:rsid w:val="0039572F"/>
    <w:rsid w:val="0039763A"/>
    <w:rsid w:val="003A253C"/>
    <w:rsid w:val="003A74F2"/>
    <w:rsid w:val="003A768F"/>
    <w:rsid w:val="003B0E81"/>
    <w:rsid w:val="003B1ACA"/>
    <w:rsid w:val="003B36F8"/>
    <w:rsid w:val="003B3C9E"/>
    <w:rsid w:val="003B47CA"/>
    <w:rsid w:val="003B47E5"/>
    <w:rsid w:val="003B5F3F"/>
    <w:rsid w:val="003B7D65"/>
    <w:rsid w:val="003C1231"/>
    <w:rsid w:val="003C14E7"/>
    <w:rsid w:val="003C177B"/>
    <w:rsid w:val="003C1FB8"/>
    <w:rsid w:val="003C26B1"/>
    <w:rsid w:val="003C29F8"/>
    <w:rsid w:val="003C2F91"/>
    <w:rsid w:val="003C3095"/>
    <w:rsid w:val="003C5610"/>
    <w:rsid w:val="003C598A"/>
    <w:rsid w:val="003C69F1"/>
    <w:rsid w:val="003D0123"/>
    <w:rsid w:val="003D0DB2"/>
    <w:rsid w:val="003D11F4"/>
    <w:rsid w:val="003D2B95"/>
    <w:rsid w:val="003D368B"/>
    <w:rsid w:val="003D36F6"/>
    <w:rsid w:val="003D4786"/>
    <w:rsid w:val="003D4EC1"/>
    <w:rsid w:val="003D5970"/>
    <w:rsid w:val="003D5E8E"/>
    <w:rsid w:val="003D68E5"/>
    <w:rsid w:val="003E2443"/>
    <w:rsid w:val="003E26D7"/>
    <w:rsid w:val="003E2DC1"/>
    <w:rsid w:val="003E319B"/>
    <w:rsid w:val="003E64D5"/>
    <w:rsid w:val="003F3F26"/>
    <w:rsid w:val="003F50DD"/>
    <w:rsid w:val="003F649E"/>
    <w:rsid w:val="004133CB"/>
    <w:rsid w:val="00414A12"/>
    <w:rsid w:val="00414DCA"/>
    <w:rsid w:val="00416E03"/>
    <w:rsid w:val="00423EAC"/>
    <w:rsid w:val="004248D8"/>
    <w:rsid w:val="00424B1B"/>
    <w:rsid w:val="00424EB8"/>
    <w:rsid w:val="004257E9"/>
    <w:rsid w:val="004257F8"/>
    <w:rsid w:val="004258D5"/>
    <w:rsid w:val="00425F2B"/>
    <w:rsid w:val="0043083C"/>
    <w:rsid w:val="004316C0"/>
    <w:rsid w:val="004325FC"/>
    <w:rsid w:val="004406A6"/>
    <w:rsid w:val="004413AE"/>
    <w:rsid w:val="004425B2"/>
    <w:rsid w:val="00442C71"/>
    <w:rsid w:val="0044437C"/>
    <w:rsid w:val="0044580A"/>
    <w:rsid w:val="004469A8"/>
    <w:rsid w:val="00450DC2"/>
    <w:rsid w:val="004546F2"/>
    <w:rsid w:val="004600D2"/>
    <w:rsid w:val="00460AE8"/>
    <w:rsid w:val="00460C06"/>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BF"/>
    <w:rsid w:val="00491D1B"/>
    <w:rsid w:val="00491F2B"/>
    <w:rsid w:val="00492C9D"/>
    <w:rsid w:val="004947BB"/>
    <w:rsid w:val="004A25F0"/>
    <w:rsid w:val="004A5C55"/>
    <w:rsid w:val="004A62C4"/>
    <w:rsid w:val="004A69D0"/>
    <w:rsid w:val="004B1631"/>
    <w:rsid w:val="004B4091"/>
    <w:rsid w:val="004B446F"/>
    <w:rsid w:val="004B68A7"/>
    <w:rsid w:val="004C4C66"/>
    <w:rsid w:val="004C54F7"/>
    <w:rsid w:val="004D062D"/>
    <w:rsid w:val="004D20F7"/>
    <w:rsid w:val="004D2E3F"/>
    <w:rsid w:val="004D7879"/>
    <w:rsid w:val="004E4568"/>
    <w:rsid w:val="004E4EF0"/>
    <w:rsid w:val="004E668C"/>
    <w:rsid w:val="004F0A44"/>
    <w:rsid w:val="004F2AB4"/>
    <w:rsid w:val="004F3C96"/>
    <w:rsid w:val="004F4154"/>
    <w:rsid w:val="004F6FE6"/>
    <w:rsid w:val="004F7576"/>
    <w:rsid w:val="005004EB"/>
    <w:rsid w:val="005025FA"/>
    <w:rsid w:val="00506008"/>
    <w:rsid w:val="00506A7D"/>
    <w:rsid w:val="00523801"/>
    <w:rsid w:val="00523A75"/>
    <w:rsid w:val="0052419F"/>
    <w:rsid w:val="005259BC"/>
    <w:rsid w:val="00531C61"/>
    <w:rsid w:val="00532805"/>
    <w:rsid w:val="00532948"/>
    <w:rsid w:val="00534F80"/>
    <w:rsid w:val="005362B4"/>
    <w:rsid w:val="0053751B"/>
    <w:rsid w:val="0054395A"/>
    <w:rsid w:val="00543A51"/>
    <w:rsid w:val="00544A1F"/>
    <w:rsid w:val="00544D11"/>
    <w:rsid w:val="00546FCE"/>
    <w:rsid w:val="00547611"/>
    <w:rsid w:val="005501D9"/>
    <w:rsid w:val="00551638"/>
    <w:rsid w:val="00554B52"/>
    <w:rsid w:val="00555474"/>
    <w:rsid w:val="005606AE"/>
    <w:rsid w:val="00562223"/>
    <w:rsid w:val="00562635"/>
    <w:rsid w:val="00565CB6"/>
    <w:rsid w:val="00570A68"/>
    <w:rsid w:val="00572BDA"/>
    <w:rsid w:val="005736CD"/>
    <w:rsid w:val="00574590"/>
    <w:rsid w:val="005801CD"/>
    <w:rsid w:val="005807CB"/>
    <w:rsid w:val="00582DD2"/>
    <w:rsid w:val="00583FAC"/>
    <w:rsid w:val="00586589"/>
    <w:rsid w:val="00586C80"/>
    <w:rsid w:val="00592319"/>
    <w:rsid w:val="005924EE"/>
    <w:rsid w:val="005938EF"/>
    <w:rsid w:val="005949BF"/>
    <w:rsid w:val="0059517D"/>
    <w:rsid w:val="005959F0"/>
    <w:rsid w:val="00596F34"/>
    <w:rsid w:val="00597B51"/>
    <w:rsid w:val="005A1322"/>
    <w:rsid w:val="005A2EEB"/>
    <w:rsid w:val="005A390D"/>
    <w:rsid w:val="005A63F0"/>
    <w:rsid w:val="005A7E53"/>
    <w:rsid w:val="005B0F7F"/>
    <w:rsid w:val="005B2B9D"/>
    <w:rsid w:val="005B2CC8"/>
    <w:rsid w:val="005B2D25"/>
    <w:rsid w:val="005B3AB4"/>
    <w:rsid w:val="005C0406"/>
    <w:rsid w:val="005C095A"/>
    <w:rsid w:val="005C26A3"/>
    <w:rsid w:val="005C2774"/>
    <w:rsid w:val="005C31C1"/>
    <w:rsid w:val="005D01A9"/>
    <w:rsid w:val="005D4ECB"/>
    <w:rsid w:val="005D5E68"/>
    <w:rsid w:val="005D7660"/>
    <w:rsid w:val="005D7A98"/>
    <w:rsid w:val="005E10B7"/>
    <w:rsid w:val="005E37E0"/>
    <w:rsid w:val="005E3C34"/>
    <w:rsid w:val="005E4AED"/>
    <w:rsid w:val="005E53A3"/>
    <w:rsid w:val="005E5482"/>
    <w:rsid w:val="005E6168"/>
    <w:rsid w:val="005E7166"/>
    <w:rsid w:val="005E7480"/>
    <w:rsid w:val="005E7BF1"/>
    <w:rsid w:val="005F0D19"/>
    <w:rsid w:val="005F0E39"/>
    <w:rsid w:val="005F1BAA"/>
    <w:rsid w:val="005F57EA"/>
    <w:rsid w:val="005F583F"/>
    <w:rsid w:val="0060248C"/>
    <w:rsid w:val="00602B33"/>
    <w:rsid w:val="0060341F"/>
    <w:rsid w:val="00610B8A"/>
    <w:rsid w:val="0061200D"/>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1E3E"/>
    <w:rsid w:val="0065483E"/>
    <w:rsid w:val="00656896"/>
    <w:rsid w:val="00656E33"/>
    <w:rsid w:val="00657B34"/>
    <w:rsid w:val="00660FF4"/>
    <w:rsid w:val="0066127D"/>
    <w:rsid w:val="00662657"/>
    <w:rsid w:val="0066317E"/>
    <w:rsid w:val="00663B56"/>
    <w:rsid w:val="00664BCE"/>
    <w:rsid w:val="006655A7"/>
    <w:rsid w:val="00672460"/>
    <w:rsid w:val="00673D10"/>
    <w:rsid w:val="00674AD0"/>
    <w:rsid w:val="00674E02"/>
    <w:rsid w:val="00675152"/>
    <w:rsid w:val="00681100"/>
    <w:rsid w:val="006821C5"/>
    <w:rsid w:val="006823D8"/>
    <w:rsid w:val="00682694"/>
    <w:rsid w:val="00682B26"/>
    <w:rsid w:val="00684EAA"/>
    <w:rsid w:val="00685D40"/>
    <w:rsid w:val="00691D6D"/>
    <w:rsid w:val="00692486"/>
    <w:rsid w:val="00695125"/>
    <w:rsid w:val="00697C83"/>
    <w:rsid w:val="006A0981"/>
    <w:rsid w:val="006A259B"/>
    <w:rsid w:val="006A34AB"/>
    <w:rsid w:val="006A4E54"/>
    <w:rsid w:val="006A6BF0"/>
    <w:rsid w:val="006B0746"/>
    <w:rsid w:val="006B428E"/>
    <w:rsid w:val="006B44DF"/>
    <w:rsid w:val="006B56C0"/>
    <w:rsid w:val="006B5DEA"/>
    <w:rsid w:val="006B754B"/>
    <w:rsid w:val="006C1BFB"/>
    <w:rsid w:val="006C2703"/>
    <w:rsid w:val="006C4FDB"/>
    <w:rsid w:val="006C5027"/>
    <w:rsid w:val="006C530B"/>
    <w:rsid w:val="006C702B"/>
    <w:rsid w:val="006C78C1"/>
    <w:rsid w:val="006C791D"/>
    <w:rsid w:val="006D0675"/>
    <w:rsid w:val="006D1045"/>
    <w:rsid w:val="006D249D"/>
    <w:rsid w:val="006D26A4"/>
    <w:rsid w:val="006D50F0"/>
    <w:rsid w:val="006D6CB2"/>
    <w:rsid w:val="006E18F8"/>
    <w:rsid w:val="006E1CAD"/>
    <w:rsid w:val="006E2577"/>
    <w:rsid w:val="006E5FEC"/>
    <w:rsid w:val="006E72F6"/>
    <w:rsid w:val="006F06D6"/>
    <w:rsid w:val="006F3138"/>
    <w:rsid w:val="006F4167"/>
    <w:rsid w:val="006F5EC5"/>
    <w:rsid w:val="006F774F"/>
    <w:rsid w:val="00700343"/>
    <w:rsid w:val="00700785"/>
    <w:rsid w:val="00704C05"/>
    <w:rsid w:val="00706782"/>
    <w:rsid w:val="007067A9"/>
    <w:rsid w:val="007127A3"/>
    <w:rsid w:val="00712D6C"/>
    <w:rsid w:val="0071418F"/>
    <w:rsid w:val="00714A0C"/>
    <w:rsid w:val="00716EF2"/>
    <w:rsid w:val="00724C4C"/>
    <w:rsid w:val="00727C36"/>
    <w:rsid w:val="007332A6"/>
    <w:rsid w:val="0073661C"/>
    <w:rsid w:val="0073678F"/>
    <w:rsid w:val="00736D03"/>
    <w:rsid w:val="00742DB9"/>
    <w:rsid w:val="00743638"/>
    <w:rsid w:val="0074765E"/>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F81"/>
    <w:rsid w:val="007749A1"/>
    <w:rsid w:val="00775EE0"/>
    <w:rsid w:val="007767B5"/>
    <w:rsid w:val="007810DD"/>
    <w:rsid w:val="007860F8"/>
    <w:rsid w:val="00786685"/>
    <w:rsid w:val="00786CFC"/>
    <w:rsid w:val="00792FC8"/>
    <w:rsid w:val="00795231"/>
    <w:rsid w:val="00795B75"/>
    <w:rsid w:val="00795C42"/>
    <w:rsid w:val="007971E0"/>
    <w:rsid w:val="007976B7"/>
    <w:rsid w:val="0079794B"/>
    <w:rsid w:val="00797C88"/>
    <w:rsid w:val="007A0AC2"/>
    <w:rsid w:val="007A2FDF"/>
    <w:rsid w:val="007A3F3A"/>
    <w:rsid w:val="007A42FA"/>
    <w:rsid w:val="007A703A"/>
    <w:rsid w:val="007B009A"/>
    <w:rsid w:val="007B10E7"/>
    <w:rsid w:val="007B2CBF"/>
    <w:rsid w:val="007B3397"/>
    <w:rsid w:val="007B45F6"/>
    <w:rsid w:val="007B595E"/>
    <w:rsid w:val="007B5D0C"/>
    <w:rsid w:val="007B78C7"/>
    <w:rsid w:val="007C29C4"/>
    <w:rsid w:val="007C29C5"/>
    <w:rsid w:val="007C31A5"/>
    <w:rsid w:val="007C3CC5"/>
    <w:rsid w:val="007C5187"/>
    <w:rsid w:val="007C571F"/>
    <w:rsid w:val="007C633D"/>
    <w:rsid w:val="007C6936"/>
    <w:rsid w:val="007D070F"/>
    <w:rsid w:val="007D1123"/>
    <w:rsid w:val="007D6527"/>
    <w:rsid w:val="007E20FE"/>
    <w:rsid w:val="007E2A99"/>
    <w:rsid w:val="007E451D"/>
    <w:rsid w:val="007E5F21"/>
    <w:rsid w:val="007E6B31"/>
    <w:rsid w:val="007F17FC"/>
    <w:rsid w:val="007F3459"/>
    <w:rsid w:val="007F45BD"/>
    <w:rsid w:val="008009D7"/>
    <w:rsid w:val="00801F25"/>
    <w:rsid w:val="00804027"/>
    <w:rsid w:val="00804CA7"/>
    <w:rsid w:val="00804CD9"/>
    <w:rsid w:val="00810140"/>
    <w:rsid w:val="0081064F"/>
    <w:rsid w:val="0081079D"/>
    <w:rsid w:val="008107DE"/>
    <w:rsid w:val="00811714"/>
    <w:rsid w:val="008201F9"/>
    <w:rsid w:val="00821330"/>
    <w:rsid w:val="00822447"/>
    <w:rsid w:val="00824608"/>
    <w:rsid w:val="008276F2"/>
    <w:rsid w:val="008311C8"/>
    <w:rsid w:val="008324C5"/>
    <w:rsid w:val="00833C00"/>
    <w:rsid w:val="00842E29"/>
    <w:rsid w:val="008441C9"/>
    <w:rsid w:val="00846AF2"/>
    <w:rsid w:val="00847802"/>
    <w:rsid w:val="00847E68"/>
    <w:rsid w:val="00850395"/>
    <w:rsid w:val="0085196D"/>
    <w:rsid w:val="00852395"/>
    <w:rsid w:val="00856B00"/>
    <w:rsid w:val="008572EE"/>
    <w:rsid w:val="008576DF"/>
    <w:rsid w:val="00863D45"/>
    <w:rsid w:val="008718C0"/>
    <w:rsid w:val="008725D7"/>
    <w:rsid w:val="00873B57"/>
    <w:rsid w:val="008755F3"/>
    <w:rsid w:val="00886B68"/>
    <w:rsid w:val="00887BBC"/>
    <w:rsid w:val="00892383"/>
    <w:rsid w:val="0089680F"/>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4121"/>
    <w:rsid w:val="008C4801"/>
    <w:rsid w:val="008C4945"/>
    <w:rsid w:val="008C6F64"/>
    <w:rsid w:val="008C7307"/>
    <w:rsid w:val="008C73D5"/>
    <w:rsid w:val="008D1D74"/>
    <w:rsid w:val="008D314D"/>
    <w:rsid w:val="008D5C5B"/>
    <w:rsid w:val="008D5D65"/>
    <w:rsid w:val="008D60AF"/>
    <w:rsid w:val="008D6A68"/>
    <w:rsid w:val="008E0636"/>
    <w:rsid w:val="008E15D3"/>
    <w:rsid w:val="008E2969"/>
    <w:rsid w:val="008E3A00"/>
    <w:rsid w:val="008E3F2F"/>
    <w:rsid w:val="008E5E29"/>
    <w:rsid w:val="008E6000"/>
    <w:rsid w:val="008E6771"/>
    <w:rsid w:val="008E7F5C"/>
    <w:rsid w:val="008F1B40"/>
    <w:rsid w:val="008F1CA5"/>
    <w:rsid w:val="008F475E"/>
    <w:rsid w:val="008F4846"/>
    <w:rsid w:val="008F486C"/>
    <w:rsid w:val="008F5C49"/>
    <w:rsid w:val="008F650D"/>
    <w:rsid w:val="00900E9D"/>
    <w:rsid w:val="0090236D"/>
    <w:rsid w:val="00904B75"/>
    <w:rsid w:val="00906266"/>
    <w:rsid w:val="009072C2"/>
    <w:rsid w:val="0090760F"/>
    <w:rsid w:val="0090768E"/>
    <w:rsid w:val="00912D1C"/>
    <w:rsid w:val="00913B0C"/>
    <w:rsid w:val="009154EE"/>
    <w:rsid w:val="009163DF"/>
    <w:rsid w:val="009203F3"/>
    <w:rsid w:val="00920751"/>
    <w:rsid w:val="00920B33"/>
    <w:rsid w:val="009233E7"/>
    <w:rsid w:val="00923A85"/>
    <w:rsid w:val="00925B19"/>
    <w:rsid w:val="00926C43"/>
    <w:rsid w:val="009270B4"/>
    <w:rsid w:val="00930000"/>
    <w:rsid w:val="00930D22"/>
    <w:rsid w:val="00932021"/>
    <w:rsid w:val="0093396F"/>
    <w:rsid w:val="0093623F"/>
    <w:rsid w:val="00937DBB"/>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311E"/>
    <w:rsid w:val="00977436"/>
    <w:rsid w:val="00983D92"/>
    <w:rsid w:val="00986837"/>
    <w:rsid w:val="0098684D"/>
    <w:rsid w:val="00986D62"/>
    <w:rsid w:val="0098714B"/>
    <w:rsid w:val="0098743D"/>
    <w:rsid w:val="0098757A"/>
    <w:rsid w:val="00987B13"/>
    <w:rsid w:val="00991BA2"/>
    <w:rsid w:val="0099483B"/>
    <w:rsid w:val="00995011"/>
    <w:rsid w:val="009955DE"/>
    <w:rsid w:val="0099583D"/>
    <w:rsid w:val="0099611F"/>
    <w:rsid w:val="00997FA3"/>
    <w:rsid w:val="009A02D0"/>
    <w:rsid w:val="009A1D31"/>
    <w:rsid w:val="009A50D5"/>
    <w:rsid w:val="009A52B0"/>
    <w:rsid w:val="009A6C62"/>
    <w:rsid w:val="009B36DF"/>
    <w:rsid w:val="009B45DC"/>
    <w:rsid w:val="009B4DFB"/>
    <w:rsid w:val="009B528A"/>
    <w:rsid w:val="009C195C"/>
    <w:rsid w:val="009C2989"/>
    <w:rsid w:val="009C3228"/>
    <w:rsid w:val="009C73DD"/>
    <w:rsid w:val="009D1BE3"/>
    <w:rsid w:val="009D445D"/>
    <w:rsid w:val="009D6C88"/>
    <w:rsid w:val="009D6E71"/>
    <w:rsid w:val="009E2FCC"/>
    <w:rsid w:val="009F1CEC"/>
    <w:rsid w:val="009F33EE"/>
    <w:rsid w:val="009F6166"/>
    <w:rsid w:val="00A003A5"/>
    <w:rsid w:val="00A0526D"/>
    <w:rsid w:val="00A10358"/>
    <w:rsid w:val="00A16A31"/>
    <w:rsid w:val="00A20494"/>
    <w:rsid w:val="00A25167"/>
    <w:rsid w:val="00A3024B"/>
    <w:rsid w:val="00A32D79"/>
    <w:rsid w:val="00A33969"/>
    <w:rsid w:val="00A357D6"/>
    <w:rsid w:val="00A35B0F"/>
    <w:rsid w:val="00A40D4D"/>
    <w:rsid w:val="00A40F40"/>
    <w:rsid w:val="00A41051"/>
    <w:rsid w:val="00A44A14"/>
    <w:rsid w:val="00A45900"/>
    <w:rsid w:val="00A46703"/>
    <w:rsid w:val="00A473DB"/>
    <w:rsid w:val="00A51D5A"/>
    <w:rsid w:val="00A543D3"/>
    <w:rsid w:val="00A545B9"/>
    <w:rsid w:val="00A56BD9"/>
    <w:rsid w:val="00A57C34"/>
    <w:rsid w:val="00A6000C"/>
    <w:rsid w:val="00A63B2B"/>
    <w:rsid w:val="00A63DA0"/>
    <w:rsid w:val="00A65A60"/>
    <w:rsid w:val="00A65D0D"/>
    <w:rsid w:val="00A673FF"/>
    <w:rsid w:val="00A70974"/>
    <w:rsid w:val="00A7193A"/>
    <w:rsid w:val="00A72DEC"/>
    <w:rsid w:val="00A740CD"/>
    <w:rsid w:val="00A83BEE"/>
    <w:rsid w:val="00A84334"/>
    <w:rsid w:val="00A84AD3"/>
    <w:rsid w:val="00A85582"/>
    <w:rsid w:val="00A8583A"/>
    <w:rsid w:val="00A85DD8"/>
    <w:rsid w:val="00A86E69"/>
    <w:rsid w:val="00A8767E"/>
    <w:rsid w:val="00A90887"/>
    <w:rsid w:val="00A91703"/>
    <w:rsid w:val="00A94C78"/>
    <w:rsid w:val="00A950D4"/>
    <w:rsid w:val="00A9648D"/>
    <w:rsid w:val="00AA0774"/>
    <w:rsid w:val="00AA311D"/>
    <w:rsid w:val="00AA595D"/>
    <w:rsid w:val="00AB0F02"/>
    <w:rsid w:val="00AB1BD1"/>
    <w:rsid w:val="00AB3AB2"/>
    <w:rsid w:val="00AB3F45"/>
    <w:rsid w:val="00AB44FB"/>
    <w:rsid w:val="00AB5097"/>
    <w:rsid w:val="00AB67CA"/>
    <w:rsid w:val="00AB7231"/>
    <w:rsid w:val="00AC1318"/>
    <w:rsid w:val="00AC3CD2"/>
    <w:rsid w:val="00AC3F39"/>
    <w:rsid w:val="00AC6DCC"/>
    <w:rsid w:val="00AC6EBD"/>
    <w:rsid w:val="00AC7C14"/>
    <w:rsid w:val="00AD0BD3"/>
    <w:rsid w:val="00AD1088"/>
    <w:rsid w:val="00AD10A8"/>
    <w:rsid w:val="00AD1B9D"/>
    <w:rsid w:val="00AD4E59"/>
    <w:rsid w:val="00AD4FB5"/>
    <w:rsid w:val="00AE039B"/>
    <w:rsid w:val="00AE28B1"/>
    <w:rsid w:val="00AE408A"/>
    <w:rsid w:val="00AE4C9E"/>
    <w:rsid w:val="00AE4CEE"/>
    <w:rsid w:val="00AE510A"/>
    <w:rsid w:val="00AE59C7"/>
    <w:rsid w:val="00AE6160"/>
    <w:rsid w:val="00AE787E"/>
    <w:rsid w:val="00AF10EB"/>
    <w:rsid w:val="00AF2131"/>
    <w:rsid w:val="00AF2832"/>
    <w:rsid w:val="00AF3085"/>
    <w:rsid w:val="00AF5A2F"/>
    <w:rsid w:val="00AF5B84"/>
    <w:rsid w:val="00AF6EC3"/>
    <w:rsid w:val="00AF78EC"/>
    <w:rsid w:val="00B001BA"/>
    <w:rsid w:val="00B00D60"/>
    <w:rsid w:val="00B0194D"/>
    <w:rsid w:val="00B10C6C"/>
    <w:rsid w:val="00B1123C"/>
    <w:rsid w:val="00B12753"/>
    <w:rsid w:val="00B12A0A"/>
    <w:rsid w:val="00B1497C"/>
    <w:rsid w:val="00B14E1E"/>
    <w:rsid w:val="00B16728"/>
    <w:rsid w:val="00B2050B"/>
    <w:rsid w:val="00B21487"/>
    <w:rsid w:val="00B2204F"/>
    <w:rsid w:val="00B2257C"/>
    <w:rsid w:val="00B22950"/>
    <w:rsid w:val="00B24FF2"/>
    <w:rsid w:val="00B30128"/>
    <w:rsid w:val="00B33DDC"/>
    <w:rsid w:val="00B34366"/>
    <w:rsid w:val="00B35DAA"/>
    <w:rsid w:val="00B35ED4"/>
    <w:rsid w:val="00B369D5"/>
    <w:rsid w:val="00B40097"/>
    <w:rsid w:val="00B40787"/>
    <w:rsid w:val="00B4134E"/>
    <w:rsid w:val="00B42A88"/>
    <w:rsid w:val="00B42E5D"/>
    <w:rsid w:val="00B43A96"/>
    <w:rsid w:val="00B45CD6"/>
    <w:rsid w:val="00B45DEF"/>
    <w:rsid w:val="00B474EC"/>
    <w:rsid w:val="00B512D0"/>
    <w:rsid w:val="00B54D56"/>
    <w:rsid w:val="00B55D6D"/>
    <w:rsid w:val="00B57FE1"/>
    <w:rsid w:val="00B64ACB"/>
    <w:rsid w:val="00B6677A"/>
    <w:rsid w:val="00B70396"/>
    <w:rsid w:val="00B7497F"/>
    <w:rsid w:val="00B75A91"/>
    <w:rsid w:val="00B8158F"/>
    <w:rsid w:val="00B83111"/>
    <w:rsid w:val="00B83FAD"/>
    <w:rsid w:val="00B856FC"/>
    <w:rsid w:val="00B86363"/>
    <w:rsid w:val="00B87221"/>
    <w:rsid w:val="00B87BC2"/>
    <w:rsid w:val="00B90BD9"/>
    <w:rsid w:val="00B953C5"/>
    <w:rsid w:val="00B95538"/>
    <w:rsid w:val="00B95A4D"/>
    <w:rsid w:val="00B97022"/>
    <w:rsid w:val="00B973F9"/>
    <w:rsid w:val="00BA04DA"/>
    <w:rsid w:val="00BA0F96"/>
    <w:rsid w:val="00BA1B1A"/>
    <w:rsid w:val="00BA38FD"/>
    <w:rsid w:val="00BA693D"/>
    <w:rsid w:val="00BB24AA"/>
    <w:rsid w:val="00BB2CC1"/>
    <w:rsid w:val="00BB3BA7"/>
    <w:rsid w:val="00BB5CE6"/>
    <w:rsid w:val="00BB687B"/>
    <w:rsid w:val="00BC1926"/>
    <w:rsid w:val="00BC1F47"/>
    <w:rsid w:val="00BC3CD6"/>
    <w:rsid w:val="00BD44AD"/>
    <w:rsid w:val="00BD605B"/>
    <w:rsid w:val="00BE1D59"/>
    <w:rsid w:val="00BE2156"/>
    <w:rsid w:val="00BE3740"/>
    <w:rsid w:val="00BE48AD"/>
    <w:rsid w:val="00BE5222"/>
    <w:rsid w:val="00BE5FFF"/>
    <w:rsid w:val="00BE630C"/>
    <w:rsid w:val="00BF1F99"/>
    <w:rsid w:val="00BF27AD"/>
    <w:rsid w:val="00BF2958"/>
    <w:rsid w:val="00BF70FC"/>
    <w:rsid w:val="00C0026D"/>
    <w:rsid w:val="00C02034"/>
    <w:rsid w:val="00C06E52"/>
    <w:rsid w:val="00C076A9"/>
    <w:rsid w:val="00C106A8"/>
    <w:rsid w:val="00C12F98"/>
    <w:rsid w:val="00C13BC1"/>
    <w:rsid w:val="00C16EB0"/>
    <w:rsid w:val="00C17C32"/>
    <w:rsid w:val="00C2073D"/>
    <w:rsid w:val="00C22157"/>
    <w:rsid w:val="00C22AAB"/>
    <w:rsid w:val="00C23299"/>
    <w:rsid w:val="00C2329C"/>
    <w:rsid w:val="00C23763"/>
    <w:rsid w:val="00C25F9C"/>
    <w:rsid w:val="00C26659"/>
    <w:rsid w:val="00C336AF"/>
    <w:rsid w:val="00C33B80"/>
    <w:rsid w:val="00C34287"/>
    <w:rsid w:val="00C35924"/>
    <w:rsid w:val="00C36D19"/>
    <w:rsid w:val="00C43E97"/>
    <w:rsid w:val="00C441D0"/>
    <w:rsid w:val="00C4579C"/>
    <w:rsid w:val="00C463EC"/>
    <w:rsid w:val="00C46A85"/>
    <w:rsid w:val="00C476B1"/>
    <w:rsid w:val="00C504AE"/>
    <w:rsid w:val="00C52242"/>
    <w:rsid w:val="00C55094"/>
    <w:rsid w:val="00C551CE"/>
    <w:rsid w:val="00C553E0"/>
    <w:rsid w:val="00C556B5"/>
    <w:rsid w:val="00C567CD"/>
    <w:rsid w:val="00C63EA6"/>
    <w:rsid w:val="00C6417A"/>
    <w:rsid w:val="00C64244"/>
    <w:rsid w:val="00C70C40"/>
    <w:rsid w:val="00C71748"/>
    <w:rsid w:val="00C721C3"/>
    <w:rsid w:val="00C7242C"/>
    <w:rsid w:val="00C74089"/>
    <w:rsid w:val="00C741C7"/>
    <w:rsid w:val="00C75B4B"/>
    <w:rsid w:val="00C763DC"/>
    <w:rsid w:val="00C77D03"/>
    <w:rsid w:val="00C80290"/>
    <w:rsid w:val="00C82AEC"/>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3E4"/>
    <w:rsid w:val="00CB466E"/>
    <w:rsid w:val="00CB5BF9"/>
    <w:rsid w:val="00CB7002"/>
    <w:rsid w:val="00CB79FB"/>
    <w:rsid w:val="00CB7DEE"/>
    <w:rsid w:val="00CB7EF0"/>
    <w:rsid w:val="00CC34D6"/>
    <w:rsid w:val="00CC35C2"/>
    <w:rsid w:val="00CC4E57"/>
    <w:rsid w:val="00CC63FB"/>
    <w:rsid w:val="00CC6B20"/>
    <w:rsid w:val="00CC7E3D"/>
    <w:rsid w:val="00CD1E75"/>
    <w:rsid w:val="00CD4AF2"/>
    <w:rsid w:val="00CD5501"/>
    <w:rsid w:val="00CE0992"/>
    <w:rsid w:val="00CE1E91"/>
    <w:rsid w:val="00CE1EF1"/>
    <w:rsid w:val="00CE22E2"/>
    <w:rsid w:val="00CE31B8"/>
    <w:rsid w:val="00CE3250"/>
    <w:rsid w:val="00CE42BC"/>
    <w:rsid w:val="00CE5DCA"/>
    <w:rsid w:val="00CE69F7"/>
    <w:rsid w:val="00CE6CF2"/>
    <w:rsid w:val="00CF358C"/>
    <w:rsid w:val="00CF64D2"/>
    <w:rsid w:val="00D01493"/>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401AC"/>
    <w:rsid w:val="00D40A9D"/>
    <w:rsid w:val="00D429E2"/>
    <w:rsid w:val="00D43F00"/>
    <w:rsid w:val="00D449D5"/>
    <w:rsid w:val="00D456EA"/>
    <w:rsid w:val="00D46617"/>
    <w:rsid w:val="00D52195"/>
    <w:rsid w:val="00D5457B"/>
    <w:rsid w:val="00D55F5C"/>
    <w:rsid w:val="00D61D2E"/>
    <w:rsid w:val="00D6353B"/>
    <w:rsid w:val="00D63FE6"/>
    <w:rsid w:val="00D6703E"/>
    <w:rsid w:val="00D70AF0"/>
    <w:rsid w:val="00D71B15"/>
    <w:rsid w:val="00D741C7"/>
    <w:rsid w:val="00D75678"/>
    <w:rsid w:val="00D808B7"/>
    <w:rsid w:val="00D80ED7"/>
    <w:rsid w:val="00D815FA"/>
    <w:rsid w:val="00D817A6"/>
    <w:rsid w:val="00D83E52"/>
    <w:rsid w:val="00D85408"/>
    <w:rsid w:val="00D8666B"/>
    <w:rsid w:val="00D86FB0"/>
    <w:rsid w:val="00D87082"/>
    <w:rsid w:val="00D92122"/>
    <w:rsid w:val="00D92E75"/>
    <w:rsid w:val="00D9310F"/>
    <w:rsid w:val="00D952E7"/>
    <w:rsid w:val="00D95558"/>
    <w:rsid w:val="00D9617D"/>
    <w:rsid w:val="00D971C5"/>
    <w:rsid w:val="00DA2326"/>
    <w:rsid w:val="00DA3F61"/>
    <w:rsid w:val="00DA62B0"/>
    <w:rsid w:val="00DB25D6"/>
    <w:rsid w:val="00DB3859"/>
    <w:rsid w:val="00DB4E16"/>
    <w:rsid w:val="00DB5E03"/>
    <w:rsid w:val="00DB6079"/>
    <w:rsid w:val="00DB6370"/>
    <w:rsid w:val="00DB66D9"/>
    <w:rsid w:val="00DB73D0"/>
    <w:rsid w:val="00DB7874"/>
    <w:rsid w:val="00DC0AF9"/>
    <w:rsid w:val="00DC1200"/>
    <w:rsid w:val="00DC486D"/>
    <w:rsid w:val="00DC6CE0"/>
    <w:rsid w:val="00DD14FF"/>
    <w:rsid w:val="00DD5008"/>
    <w:rsid w:val="00DD7CEB"/>
    <w:rsid w:val="00DE7728"/>
    <w:rsid w:val="00DF4E75"/>
    <w:rsid w:val="00DF5558"/>
    <w:rsid w:val="00DF7B4E"/>
    <w:rsid w:val="00E0081B"/>
    <w:rsid w:val="00E00D36"/>
    <w:rsid w:val="00E01A93"/>
    <w:rsid w:val="00E043E9"/>
    <w:rsid w:val="00E063D8"/>
    <w:rsid w:val="00E06B61"/>
    <w:rsid w:val="00E06F2B"/>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46A3"/>
    <w:rsid w:val="00E456D8"/>
    <w:rsid w:val="00E464D0"/>
    <w:rsid w:val="00E51896"/>
    <w:rsid w:val="00E52AA9"/>
    <w:rsid w:val="00E55AE9"/>
    <w:rsid w:val="00E56641"/>
    <w:rsid w:val="00E56BFD"/>
    <w:rsid w:val="00E57B33"/>
    <w:rsid w:val="00E608CF"/>
    <w:rsid w:val="00E623FC"/>
    <w:rsid w:val="00E63278"/>
    <w:rsid w:val="00E64A97"/>
    <w:rsid w:val="00E66F64"/>
    <w:rsid w:val="00E67459"/>
    <w:rsid w:val="00E711EA"/>
    <w:rsid w:val="00E74724"/>
    <w:rsid w:val="00E755BC"/>
    <w:rsid w:val="00E76444"/>
    <w:rsid w:val="00E7697F"/>
    <w:rsid w:val="00E779A8"/>
    <w:rsid w:val="00E80720"/>
    <w:rsid w:val="00E85B17"/>
    <w:rsid w:val="00E86370"/>
    <w:rsid w:val="00E86A1A"/>
    <w:rsid w:val="00E86D91"/>
    <w:rsid w:val="00E87BA9"/>
    <w:rsid w:val="00E90350"/>
    <w:rsid w:val="00E9082C"/>
    <w:rsid w:val="00E91DF3"/>
    <w:rsid w:val="00E922AB"/>
    <w:rsid w:val="00E947A9"/>
    <w:rsid w:val="00E94CE1"/>
    <w:rsid w:val="00E96043"/>
    <w:rsid w:val="00EA031B"/>
    <w:rsid w:val="00EA181C"/>
    <w:rsid w:val="00EA212A"/>
    <w:rsid w:val="00EA2BBC"/>
    <w:rsid w:val="00EA3297"/>
    <w:rsid w:val="00EA3BAC"/>
    <w:rsid w:val="00EA5314"/>
    <w:rsid w:val="00EB19B1"/>
    <w:rsid w:val="00EB2B91"/>
    <w:rsid w:val="00EB2CC4"/>
    <w:rsid w:val="00EB3EF4"/>
    <w:rsid w:val="00EB4330"/>
    <w:rsid w:val="00EB4649"/>
    <w:rsid w:val="00EB62E5"/>
    <w:rsid w:val="00EC25EB"/>
    <w:rsid w:val="00EC3404"/>
    <w:rsid w:val="00EC4862"/>
    <w:rsid w:val="00EC4DB8"/>
    <w:rsid w:val="00EC735A"/>
    <w:rsid w:val="00ED079C"/>
    <w:rsid w:val="00ED117C"/>
    <w:rsid w:val="00ED2AB1"/>
    <w:rsid w:val="00ED2ACA"/>
    <w:rsid w:val="00ED38E1"/>
    <w:rsid w:val="00ED428A"/>
    <w:rsid w:val="00ED5855"/>
    <w:rsid w:val="00ED7BF8"/>
    <w:rsid w:val="00EE12FD"/>
    <w:rsid w:val="00EE2931"/>
    <w:rsid w:val="00EE321B"/>
    <w:rsid w:val="00EE4034"/>
    <w:rsid w:val="00EE4ACD"/>
    <w:rsid w:val="00EE5AD5"/>
    <w:rsid w:val="00EE68E4"/>
    <w:rsid w:val="00EF0B14"/>
    <w:rsid w:val="00EF2AE9"/>
    <w:rsid w:val="00EF3ABC"/>
    <w:rsid w:val="00EF40CC"/>
    <w:rsid w:val="00EF57B2"/>
    <w:rsid w:val="00F00098"/>
    <w:rsid w:val="00F01141"/>
    <w:rsid w:val="00F041FC"/>
    <w:rsid w:val="00F0502C"/>
    <w:rsid w:val="00F051EC"/>
    <w:rsid w:val="00F05F69"/>
    <w:rsid w:val="00F072A0"/>
    <w:rsid w:val="00F078DF"/>
    <w:rsid w:val="00F07A8D"/>
    <w:rsid w:val="00F07E6A"/>
    <w:rsid w:val="00F103FE"/>
    <w:rsid w:val="00F12605"/>
    <w:rsid w:val="00F137D4"/>
    <w:rsid w:val="00F14DA5"/>
    <w:rsid w:val="00F20B46"/>
    <w:rsid w:val="00F20EB1"/>
    <w:rsid w:val="00F21F10"/>
    <w:rsid w:val="00F231DA"/>
    <w:rsid w:val="00F248E0"/>
    <w:rsid w:val="00F24AAC"/>
    <w:rsid w:val="00F266FC"/>
    <w:rsid w:val="00F2676F"/>
    <w:rsid w:val="00F30326"/>
    <w:rsid w:val="00F30A37"/>
    <w:rsid w:val="00F32C41"/>
    <w:rsid w:val="00F331EF"/>
    <w:rsid w:val="00F33C7C"/>
    <w:rsid w:val="00F4220A"/>
    <w:rsid w:val="00F4362C"/>
    <w:rsid w:val="00F43633"/>
    <w:rsid w:val="00F437C5"/>
    <w:rsid w:val="00F46CB4"/>
    <w:rsid w:val="00F46D43"/>
    <w:rsid w:val="00F47602"/>
    <w:rsid w:val="00F518B4"/>
    <w:rsid w:val="00F52EF5"/>
    <w:rsid w:val="00F5418E"/>
    <w:rsid w:val="00F546B2"/>
    <w:rsid w:val="00F55671"/>
    <w:rsid w:val="00F5581E"/>
    <w:rsid w:val="00F579FA"/>
    <w:rsid w:val="00F60ED0"/>
    <w:rsid w:val="00F61CC2"/>
    <w:rsid w:val="00F65E70"/>
    <w:rsid w:val="00F66FEE"/>
    <w:rsid w:val="00F67B71"/>
    <w:rsid w:val="00F72096"/>
    <w:rsid w:val="00F76F70"/>
    <w:rsid w:val="00F80227"/>
    <w:rsid w:val="00F802F6"/>
    <w:rsid w:val="00F8293D"/>
    <w:rsid w:val="00F83189"/>
    <w:rsid w:val="00F83A44"/>
    <w:rsid w:val="00F84AD9"/>
    <w:rsid w:val="00F854AA"/>
    <w:rsid w:val="00F86053"/>
    <w:rsid w:val="00F861FA"/>
    <w:rsid w:val="00F9043D"/>
    <w:rsid w:val="00F90741"/>
    <w:rsid w:val="00F930EB"/>
    <w:rsid w:val="00F96A5A"/>
    <w:rsid w:val="00F97857"/>
    <w:rsid w:val="00F97B98"/>
    <w:rsid w:val="00FA2A45"/>
    <w:rsid w:val="00FA3ABE"/>
    <w:rsid w:val="00FA5AAB"/>
    <w:rsid w:val="00FA75DC"/>
    <w:rsid w:val="00FB0B2B"/>
    <w:rsid w:val="00FB33FA"/>
    <w:rsid w:val="00FC0304"/>
    <w:rsid w:val="00FC235E"/>
    <w:rsid w:val="00FC35B4"/>
    <w:rsid w:val="00FD5C76"/>
    <w:rsid w:val="00FE0359"/>
    <w:rsid w:val="00FE1385"/>
    <w:rsid w:val="00FE1F7F"/>
    <w:rsid w:val="00FE584D"/>
    <w:rsid w:val="00FE7E42"/>
    <w:rsid w:val="00FF27BA"/>
    <w:rsid w:val="00FF2A24"/>
    <w:rsid w:val="00FF38C0"/>
    <w:rsid w:val="00FF588E"/>
    <w:rsid w:val="00FF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96B9-4FF7-4FA5-9F51-2F1CC9C5AD0B}">
  <ds:schemaRefs>
    <ds:schemaRef ds:uri="http://schemas.microsoft.com/office/infopath/2007/PartnerControls"/>
    <ds:schemaRef ds:uri="http://purl.org/dc/elements/1.1/"/>
    <ds:schemaRef ds:uri="http://schemas.microsoft.com/office/2006/metadata/properties"/>
    <ds:schemaRef ds:uri="5a888943-97ca-4c93-b605-714bb5e9e285"/>
    <ds:schemaRef ds:uri="http://purl.org/dc/terms/"/>
    <ds:schemaRef ds:uri="http://schemas.microsoft.com/sharepoint/v4"/>
    <ds:schemaRef ds:uri="http://schemas.microsoft.com/office/2006/documentManagement/types"/>
    <ds:schemaRef ds:uri="http://schemas.openxmlformats.org/package/2006/metadata/core-properties"/>
    <ds:schemaRef ds:uri="e32f50e1-6846-4d7d-ad60-ccd6877e6c5e"/>
    <ds:schemaRef ds:uri="http://www.w3.org/XML/1998/namespace"/>
    <ds:schemaRef ds:uri="http://purl.org/dc/dcmitype/"/>
  </ds:schemaRefs>
</ds:datastoreItem>
</file>

<file path=customXml/itemProps2.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3.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4.xml><?xml version="1.0" encoding="utf-8"?>
<ds:datastoreItem xmlns:ds="http://schemas.openxmlformats.org/officeDocument/2006/customXml" ds:itemID="{E5F6E852-B45F-4673-9383-6FF50EA4C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1781</TotalTime>
  <Pages>1</Pages>
  <Words>2583</Words>
  <Characters>14724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469</cp:revision>
  <dcterms:created xsi:type="dcterms:W3CDTF">2022-02-10T15:51:00Z</dcterms:created>
  <dcterms:modified xsi:type="dcterms:W3CDTF">2023-05-12T08:22:00Z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